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0A" w:rsidRDefault="0064520A" w:rsidP="006452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64520A" w:rsidRDefault="0064520A" w:rsidP="0064520A">
      <w:pPr>
        <w:spacing w:after="0" w:line="240" w:lineRule="auto"/>
        <w:rPr>
          <w:rFonts w:ascii="Times New Roman" w:hAnsi="Times New Roman" w:cs="Times New Roman"/>
          <w:b/>
          <w:sz w:val="28"/>
          <w:szCs w:val="28"/>
        </w:rPr>
      </w:pPr>
    </w:p>
    <w:p w:rsidR="0064520A" w:rsidRPr="00982AFF" w:rsidRDefault="0064520A" w:rsidP="0064520A">
      <w:pPr>
        <w:pStyle w:val="a3"/>
        <w:numPr>
          <w:ilvl w:val="0"/>
          <w:numId w:val="1"/>
        </w:numPr>
        <w:spacing w:after="0" w:line="240" w:lineRule="auto"/>
        <w:ind w:left="0" w:firstLine="709"/>
        <w:jc w:val="both"/>
        <w:rPr>
          <w:rFonts w:ascii="Times New Roman" w:hAnsi="Times New Roman" w:cs="Times New Roman"/>
          <w:sz w:val="28"/>
          <w:szCs w:val="28"/>
        </w:rPr>
      </w:pPr>
      <w:r w:rsidRPr="00982AFF">
        <w:rPr>
          <w:rFonts w:ascii="Times New Roman" w:hAnsi="Times New Roman" w:cs="Times New Roman"/>
          <w:sz w:val="28"/>
          <w:szCs w:val="28"/>
        </w:rPr>
        <w:t>Постановление администрации Болховского района № 28</w:t>
      </w:r>
      <w:r w:rsidR="00982AFF" w:rsidRPr="00982AFF">
        <w:rPr>
          <w:rFonts w:ascii="Times New Roman" w:hAnsi="Times New Roman" w:cs="Times New Roman"/>
          <w:sz w:val="28"/>
          <w:szCs w:val="28"/>
        </w:rPr>
        <w:t>8</w:t>
      </w:r>
      <w:r w:rsidRPr="00982AFF">
        <w:rPr>
          <w:rFonts w:ascii="Times New Roman" w:hAnsi="Times New Roman" w:cs="Times New Roman"/>
          <w:sz w:val="28"/>
          <w:szCs w:val="28"/>
        </w:rPr>
        <w:t xml:space="preserve"> от 12.07.2019 года «Об утверждении Положения </w:t>
      </w:r>
      <w:r w:rsidR="00982AFF" w:rsidRPr="00982AFF">
        <w:rPr>
          <w:rFonts w:ascii="Times New Roman" w:hAnsi="Times New Roman" w:cs="Times New Roman"/>
          <w:sz w:val="28"/>
          <w:szCs w:val="28"/>
        </w:rPr>
        <w:t>«Об организации и осуществлении муниципального контроля на территории особой экономической зоны</w:t>
      </w:r>
      <w:r w:rsidRPr="00982AFF">
        <w:rPr>
          <w:rFonts w:ascii="Times New Roman" w:hAnsi="Times New Roman" w:cs="Times New Roman"/>
          <w:sz w:val="28"/>
          <w:szCs w:val="28"/>
        </w:rPr>
        <w:t xml:space="preserve"> </w:t>
      </w:r>
      <w:r w:rsidR="00982AFF" w:rsidRPr="00982AFF">
        <w:rPr>
          <w:rFonts w:ascii="Times New Roman" w:hAnsi="Times New Roman" w:cs="Times New Roman"/>
          <w:sz w:val="28"/>
          <w:szCs w:val="28"/>
        </w:rPr>
        <w:t>в</w:t>
      </w:r>
      <w:r w:rsidRPr="00982AFF">
        <w:rPr>
          <w:rFonts w:ascii="Times New Roman" w:hAnsi="Times New Roman" w:cs="Times New Roman"/>
          <w:sz w:val="28"/>
          <w:szCs w:val="28"/>
        </w:rPr>
        <w:t xml:space="preserve"> Болховско</w:t>
      </w:r>
      <w:r w:rsidR="00982AFF" w:rsidRPr="00982AFF">
        <w:rPr>
          <w:rFonts w:ascii="Times New Roman" w:hAnsi="Times New Roman" w:cs="Times New Roman"/>
          <w:sz w:val="28"/>
          <w:szCs w:val="28"/>
        </w:rPr>
        <w:t>м</w:t>
      </w:r>
      <w:r w:rsidRPr="00982AFF">
        <w:rPr>
          <w:rFonts w:ascii="Times New Roman" w:hAnsi="Times New Roman" w:cs="Times New Roman"/>
          <w:sz w:val="28"/>
          <w:szCs w:val="28"/>
        </w:rPr>
        <w:t xml:space="preserve"> район</w:t>
      </w:r>
      <w:r w:rsidR="00982AFF" w:rsidRPr="00982AFF">
        <w:rPr>
          <w:rFonts w:ascii="Times New Roman" w:hAnsi="Times New Roman" w:cs="Times New Roman"/>
          <w:sz w:val="28"/>
          <w:szCs w:val="28"/>
        </w:rPr>
        <w:t>е</w:t>
      </w:r>
      <w:r w:rsidRPr="00982AFF">
        <w:rPr>
          <w:rFonts w:ascii="Times New Roman" w:hAnsi="Times New Roman" w:cs="Times New Roman"/>
          <w:sz w:val="28"/>
          <w:szCs w:val="28"/>
        </w:rPr>
        <w:t xml:space="preserve"> Орловской области»;</w:t>
      </w:r>
    </w:p>
    <w:p w:rsidR="0064520A" w:rsidRPr="00982AFF" w:rsidRDefault="0064520A" w:rsidP="0064520A">
      <w:pPr>
        <w:pStyle w:val="a3"/>
        <w:numPr>
          <w:ilvl w:val="0"/>
          <w:numId w:val="1"/>
        </w:numPr>
        <w:spacing w:after="0" w:line="240" w:lineRule="auto"/>
        <w:ind w:left="0" w:firstLine="709"/>
        <w:jc w:val="both"/>
        <w:rPr>
          <w:rFonts w:ascii="Times New Roman" w:hAnsi="Times New Roman" w:cs="Times New Roman"/>
          <w:sz w:val="28"/>
          <w:szCs w:val="28"/>
        </w:rPr>
      </w:pPr>
      <w:r w:rsidRPr="00982AFF">
        <w:rPr>
          <w:rFonts w:ascii="Times New Roman" w:hAnsi="Times New Roman" w:cs="Times New Roman"/>
          <w:sz w:val="28"/>
          <w:szCs w:val="28"/>
        </w:rPr>
        <w:t xml:space="preserve">Постановление администрации Болховского района от </w:t>
      </w:r>
      <w:r w:rsidR="00982AFF" w:rsidRPr="00982AFF">
        <w:rPr>
          <w:rFonts w:ascii="Times New Roman" w:hAnsi="Times New Roman" w:cs="Times New Roman"/>
          <w:sz w:val="28"/>
          <w:szCs w:val="28"/>
        </w:rPr>
        <w:t>12.07.2019 года № 289</w:t>
      </w:r>
      <w:r w:rsidRPr="00982AFF">
        <w:rPr>
          <w:rFonts w:ascii="Times New Roman" w:hAnsi="Times New Roman" w:cs="Times New Roman"/>
          <w:sz w:val="28"/>
          <w:szCs w:val="28"/>
        </w:rPr>
        <w:t xml:space="preserve"> «Об утверждении административного регламента </w:t>
      </w:r>
      <w:r w:rsidR="00982AFF" w:rsidRPr="00982AFF">
        <w:rPr>
          <w:rFonts w:ascii="Times New Roman" w:hAnsi="Times New Roman" w:cs="Times New Roman"/>
          <w:sz w:val="28"/>
          <w:szCs w:val="28"/>
        </w:rPr>
        <w:t>по осуществлению муниципального контроля на территории особой экономической зоны Болховского района».</w:t>
      </w:r>
    </w:p>
    <w:p w:rsidR="0064520A" w:rsidRDefault="0064520A" w:rsidP="0064520A">
      <w:pPr>
        <w:pStyle w:val="a3"/>
        <w:spacing w:after="0" w:line="240" w:lineRule="auto"/>
        <w:ind w:left="0" w:firstLine="709"/>
        <w:jc w:val="both"/>
        <w:rPr>
          <w:rFonts w:ascii="Times New Roman" w:hAnsi="Times New Roman"/>
          <w:sz w:val="28"/>
          <w:szCs w:val="28"/>
        </w:rPr>
      </w:pPr>
    </w:p>
    <w:p w:rsidR="0064520A" w:rsidRDefault="0064520A" w:rsidP="0064520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размещены на официальном сайте администрации Болховского района в сети «Интернет» в разделе «Муниципальные правовые акты»</w:t>
      </w:r>
      <w:r w:rsidR="006E5BB3">
        <w:rPr>
          <w:rFonts w:ascii="Times New Roman" w:hAnsi="Times New Roman"/>
          <w:sz w:val="28"/>
          <w:szCs w:val="28"/>
        </w:rPr>
        <w:t>.</w:t>
      </w:r>
    </w:p>
    <w:p w:rsidR="006E5BB3" w:rsidRDefault="006E5BB3" w:rsidP="0064520A">
      <w:pPr>
        <w:pStyle w:val="a3"/>
        <w:spacing w:after="0" w:line="240" w:lineRule="auto"/>
        <w:ind w:left="0" w:firstLine="709"/>
        <w:jc w:val="both"/>
        <w:rPr>
          <w:rFonts w:ascii="Times New Roman" w:hAnsi="Times New Roman"/>
          <w:sz w:val="28"/>
          <w:szCs w:val="28"/>
        </w:rPr>
      </w:pPr>
    </w:p>
    <w:p w:rsidR="006E5BB3" w:rsidRPr="006E5BB3" w:rsidRDefault="006E5BB3" w:rsidP="006E5BB3">
      <w:pPr>
        <w:spacing w:after="0" w:line="240" w:lineRule="auto"/>
        <w:ind w:firstLine="709"/>
        <w:jc w:val="both"/>
        <w:rPr>
          <w:rFonts w:ascii="Times New Roman" w:eastAsia="Calibri" w:hAnsi="Times New Roman" w:cs="Times New Roman"/>
          <w:sz w:val="28"/>
          <w:szCs w:val="28"/>
        </w:rPr>
      </w:pPr>
      <w:r w:rsidRPr="006E5BB3">
        <w:rPr>
          <w:rFonts w:ascii="Times New Roman" w:eastAsia="Calibri"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законодательства РФ на территории особой экономической зоны в Болховском районе.</w:t>
      </w:r>
    </w:p>
    <w:p w:rsidR="006E5BB3" w:rsidRPr="006E5BB3" w:rsidRDefault="006E5BB3" w:rsidP="006E5BB3">
      <w:pPr>
        <w:spacing w:after="0" w:line="240" w:lineRule="auto"/>
        <w:ind w:firstLine="709"/>
        <w:jc w:val="both"/>
        <w:rPr>
          <w:rFonts w:ascii="Times New Roman" w:eastAsia="Calibri" w:hAnsi="Times New Roman" w:cs="Times New Roman"/>
          <w:sz w:val="28"/>
          <w:szCs w:val="28"/>
        </w:rPr>
      </w:pPr>
      <w:r w:rsidRPr="006E5BB3">
        <w:rPr>
          <w:rFonts w:ascii="Times New Roman" w:eastAsia="Calibri" w:hAnsi="Times New Roman" w:cs="Times New Roman"/>
          <w:sz w:val="28"/>
          <w:szCs w:val="28"/>
        </w:rPr>
        <w:t>Муниципальный контроль осуществляется Администрацией  (далее - орган муниципального контроля).</w:t>
      </w:r>
    </w:p>
    <w:p w:rsidR="006E5BB3" w:rsidRPr="006E5BB3" w:rsidRDefault="006E5BB3" w:rsidP="006E5BB3">
      <w:pPr>
        <w:shd w:val="clear" w:color="auto" w:fill="FFFFFF"/>
        <w:spacing w:after="0" w:line="240" w:lineRule="auto"/>
        <w:ind w:firstLine="709"/>
        <w:jc w:val="center"/>
        <w:rPr>
          <w:rFonts w:ascii="Times New Roman" w:hAnsi="Times New Roman" w:cs="Times New Roman"/>
          <w:color w:val="000000"/>
          <w:sz w:val="28"/>
          <w:szCs w:val="28"/>
        </w:rPr>
      </w:pPr>
      <w:r w:rsidRPr="006E5BB3">
        <w:rPr>
          <w:rFonts w:ascii="Times New Roman" w:hAnsi="Times New Roman" w:cs="Times New Roman"/>
          <w:color w:val="000000"/>
          <w:sz w:val="28"/>
          <w:szCs w:val="28"/>
        </w:rPr>
        <w:t>ИНФОРМАЦИЯ</w:t>
      </w:r>
    </w:p>
    <w:p w:rsidR="006E5BB3" w:rsidRPr="006E5BB3" w:rsidRDefault="006E5BB3" w:rsidP="006E5BB3">
      <w:pPr>
        <w:shd w:val="clear" w:color="auto" w:fill="FFFFFF"/>
        <w:spacing w:after="0" w:line="240" w:lineRule="auto"/>
        <w:ind w:firstLine="709"/>
        <w:jc w:val="center"/>
        <w:rPr>
          <w:rFonts w:ascii="Times New Roman" w:hAnsi="Times New Roman" w:cs="Times New Roman"/>
          <w:color w:val="000000"/>
          <w:sz w:val="28"/>
          <w:szCs w:val="28"/>
        </w:rPr>
      </w:pPr>
      <w:r w:rsidRPr="006E5BB3">
        <w:rPr>
          <w:rFonts w:ascii="Times New Roman" w:hAnsi="Times New Roman" w:cs="Times New Roman"/>
          <w:color w:val="000000"/>
          <w:sz w:val="28"/>
          <w:szCs w:val="28"/>
        </w:rPr>
        <w:t>о месте нахождения, графике работы, номерах контактных телефонов, адресах электронной почты и сайта сети «Интернет» администрации</w:t>
      </w:r>
    </w:p>
    <w:p w:rsidR="006E5BB3" w:rsidRPr="006E5BB3" w:rsidRDefault="006E5BB3" w:rsidP="006E5BB3">
      <w:pPr>
        <w:shd w:val="clear" w:color="auto" w:fill="FFFFFF"/>
        <w:spacing w:after="0" w:line="240" w:lineRule="auto"/>
        <w:ind w:firstLine="709"/>
        <w:jc w:val="center"/>
        <w:rPr>
          <w:rFonts w:ascii="Times New Roman" w:hAnsi="Times New Roman" w:cs="Times New Roman"/>
          <w:color w:val="000000"/>
          <w:sz w:val="28"/>
          <w:szCs w:val="28"/>
        </w:rPr>
      </w:pPr>
      <w:r w:rsidRPr="006E5BB3">
        <w:rPr>
          <w:rFonts w:ascii="Times New Roman" w:hAnsi="Times New Roman" w:cs="Times New Roman"/>
          <w:color w:val="000000"/>
          <w:sz w:val="28"/>
          <w:szCs w:val="28"/>
        </w:rPr>
        <w:t>муниципального образования Болховский</w:t>
      </w:r>
    </w:p>
    <w:tbl>
      <w:tblPr>
        <w:tblW w:w="0" w:type="auto"/>
        <w:tblCellSpacing w:w="15" w:type="dxa"/>
        <w:shd w:val="clear" w:color="auto" w:fill="FFFFFF"/>
        <w:tblCellMar>
          <w:top w:w="15" w:type="dxa"/>
          <w:left w:w="15" w:type="dxa"/>
          <w:bottom w:w="15" w:type="dxa"/>
          <w:right w:w="15" w:type="dxa"/>
        </w:tblCellMar>
        <w:tblLook w:val="04A0"/>
      </w:tblPr>
      <w:tblGrid>
        <w:gridCol w:w="93"/>
        <w:gridCol w:w="538"/>
        <w:gridCol w:w="2117"/>
        <w:gridCol w:w="2441"/>
        <w:gridCol w:w="1865"/>
        <w:gridCol w:w="2256"/>
        <w:gridCol w:w="105"/>
      </w:tblGrid>
      <w:tr w:rsidR="006E5BB3" w:rsidRPr="002B10EB" w:rsidTr="0025330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c>
          <w:tcPr>
            <w:tcW w:w="513"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c>
          <w:tcPr>
            <w:tcW w:w="1952"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c>
          <w:tcPr>
            <w:tcW w:w="2501"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c>
          <w:tcPr>
            <w:tcW w:w="1862"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c>
          <w:tcPr>
            <w:tcW w:w="2233"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c>
          <w:tcPr>
            <w:tcW w:w="62"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r>
      <w:tr w:rsidR="006E5BB3" w:rsidRPr="002B10EB" w:rsidTr="0025330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c>
          <w:tcPr>
            <w:tcW w:w="513"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vAlign w:val="cente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 xml:space="preserve">№ </w:t>
            </w:r>
            <w:proofErr w:type="spellStart"/>
            <w:r w:rsidRPr="002B10EB">
              <w:rPr>
                <w:rFonts w:ascii="Times New Roman" w:hAnsi="Times New Roman" w:cs="Times New Roman"/>
                <w:sz w:val="28"/>
                <w:szCs w:val="28"/>
              </w:rPr>
              <w:t>пп</w:t>
            </w:r>
            <w:proofErr w:type="spellEnd"/>
          </w:p>
        </w:tc>
        <w:tc>
          <w:tcPr>
            <w:tcW w:w="195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Наименование</w:t>
            </w:r>
          </w:p>
        </w:tc>
        <w:tc>
          <w:tcPr>
            <w:tcW w:w="2501"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Место нахождения</w:t>
            </w:r>
          </w:p>
        </w:tc>
        <w:tc>
          <w:tcPr>
            <w:tcW w:w="1862"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График работы</w:t>
            </w:r>
          </w:p>
        </w:tc>
        <w:tc>
          <w:tcPr>
            <w:tcW w:w="2233"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Номер контактного телефона, адрес электронной почты и сайта</w:t>
            </w:r>
          </w:p>
        </w:tc>
        <w:tc>
          <w:tcPr>
            <w:tcW w:w="62"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r>
      <w:tr w:rsidR="006E5BB3" w:rsidRPr="002B10EB" w:rsidTr="0025330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c>
          <w:tcPr>
            <w:tcW w:w="513"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1</w:t>
            </w:r>
          </w:p>
        </w:tc>
        <w:tc>
          <w:tcPr>
            <w:tcW w:w="195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2</w:t>
            </w:r>
          </w:p>
        </w:tc>
        <w:tc>
          <w:tcPr>
            <w:tcW w:w="2501"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3</w:t>
            </w:r>
          </w:p>
        </w:tc>
        <w:tc>
          <w:tcPr>
            <w:tcW w:w="1862"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4</w:t>
            </w:r>
          </w:p>
        </w:tc>
        <w:tc>
          <w:tcPr>
            <w:tcW w:w="2233"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5</w:t>
            </w:r>
          </w:p>
        </w:tc>
        <w:tc>
          <w:tcPr>
            <w:tcW w:w="62"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r>
      <w:tr w:rsidR="006E5BB3" w:rsidRPr="002B10EB" w:rsidTr="0025330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c>
          <w:tcPr>
            <w:tcW w:w="513"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vAlign w:val="cente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1</w:t>
            </w:r>
          </w:p>
        </w:tc>
        <w:tc>
          <w:tcPr>
            <w:tcW w:w="195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6E5BB3" w:rsidRPr="002B10EB" w:rsidRDefault="006E5BB3" w:rsidP="00253302">
            <w:pPr>
              <w:spacing w:after="0"/>
              <w:ind w:left="55"/>
              <w:jc w:val="center"/>
              <w:rPr>
                <w:rFonts w:ascii="Times New Roman" w:hAnsi="Times New Roman" w:cs="Times New Roman"/>
                <w:sz w:val="28"/>
                <w:szCs w:val="28"/>
              </w:rPr>
            </w:pPr>
            <w:r w:rsidRPr="002B10EB">
              <w:rPr>
                <w:rFonts w:ascii="Times New Roman" w:hAnsi="Times New Roman" w:cs="Times New Roman"/>
                <w:sz w:val="28"/>
                <w:szCs w:val="28"/>
              </w:rPr>
              <w:t>Администрация муниципального образования Болховский район</w:t>
            </w:r>
          </w:p>
        </w:tc>
        <w:tc>
          <w:tcPr>
            <w:tcW w:w="2501"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 xml:space="preserve">303140, Орловская область, </w:t>
            </w:r>
            <w:proofErr w:type="gramStart"/>
            <w:r w:rsidRPr="002B10EB">
              <w:rPr>
                <w:rFonts w:ascii="Times New Roman" w:hAnsi="Times New Roman" w:cs="Times New Roman"/>
                <w:sz w:val="28"/>
                <w:szCs w:val="28"/>
              </w:rPr>
              <w:t>г</w:t>
            </w:r>
            <w:proofErr w:type="gramEnd"/>
            <w:r w:rsidRPr="002B10EB">
              <w:rPr>
                <w:rFonts w:ascii="Times New Roman" w:hAnsi="Times New Roman" w:cs="Times New Roman"/>
                <w:sz w:val="28"/>
                <w:szCs w:val="28"/>
              </w:rPr>
              <w:t xml:space="preserve">. </w:t>
            </w:r>
            <w:proofErr w:type="spellStart"/>
            <w:r w:rsidRPr="002B10EB">
              <w:rPr>
                <w:rFonts w:ascii="Times New Roman" w:hAnsi="Times New Roman" w:cs="Times New Roman"/>
                <w:sz w:val="28"/>
                <w:szCs w:val="28"/>
              </w:rPr>
              <w:t>Болхов</w:t>
            </w:r>
            <w:proofErr w:type="spellEnd"/>
            <w:r w:rsidRPr="002B10EB">
              <w:rPr>
                <w:rFonts w:ascii="Times New Roman" w:hAnsi="Times New Roman" w:cs="Times New Roman"/>
                <w:sz w:val="28"/>
                <w:szCs w:val="28"/>
              </w:rPr>
              <w:t>, ул. Ленина, д. 2 а</w:t>
            </w:r>
          </w:p>
        </w:tc>
        <w:tc>
          <w:tcPr>
            <w:tcW w:w="1862"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t>понедельник - пятница с 08.00 час. до 17.00 час, перерыв на обед с 13.00 час до 14.00 час</w:t>
            </w:r>
            <w:proofErr w:type="gramStart"/>
            <w:r w:rsidRPr="002B10EB">
              <w:rPr>
                <w:rFonts w:ascii="Times New Roman" w:hAnsi="Times New Roman" w:cs="Times New Roman"/>
                <w:sz w:val="28"/>
                <w:szCs w:val="28"/>
              </w:rPr>
              <w:t xml:space="preserve">., </w:t>
            </w:r>
            <w:proofErr w:type="gramEnd"/>
            <w:r w:rsidRPr="002B10EB">
              <w:rPr>
                <w:rFonts w:ascii="Times New Roman" w:hAnsi="Times New Roman" w:cs="Times New Roman"/>
                <w:sz w:val="28"/>
                <w:szCs w:val="28"/>
              </w:rPr>
              <w:t xml:space="preserve">выходной: </w:t>
            </w:r>
            <w:r w:rsidRPr="002B10EB">
              <w:rPr>
                <w:rFonts w:ascii="Times New Roman" w:hAnsi="Times New Roman" w:cs="Times New Roman"/>
                <w:sz w:val="28"/>
                <w:szCs w:val="28"/>
              </w:rPr>
              <w:lastRenderedPageBreak/>
              <w:t>суббота, воскресенье.</w:t>
            </w:r>
          </w:p>
        </w:tc>
        <w:tc>
          <w:tcPr>
            <w:tcW w:w="2233"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6E5BB3" w:rsidRPr="002B10EB" w:rsidRDefault="006E5BB3" w:rsidP="00253302">
            <w:pPr>
              <w:spacing w:after="0"/>
              <w:jc w:val="center"/>
              <w:rPr>
                <w:rFonts w:ascii="Times New Roman" w:hAnsi="Times New Roman" w:cs="Times New Roman"/>
                <w:sz w:val="28"/>
                <w:szCs w:val="28"/>
              </w:rPr>
            </w:pPr>
            <w:r w:rsidRPr="002B10EB">
              <w:rPr>
                <w:rFonts w:ascii="Times New Roman" w:hAnsi="Times New Roman" w:cs="Times New Roman"/>
                <w:sz w:val="28"/>
                <w:szCs w:val="28"/>
              </w:rPr>
              <w:lastRenderedPageBreak/>
              <w:t>(8 486 40) 2-31-51</w:t>
            </w:r>
          </w:p>
          <w:p w:rsidR="006E5BB3" w:rsidRPr="002B10EB" w:rsidRDefault="006E5BB3" w:rsidP="00253302">
            <w:pPr>
              <w:spacing w:after="0"/>
              <w:jc w:val="center"/>
              <w:rPr>
                <w:rFonts w:ascii="Times New Roman" w:hAnsi="Times New Roman" w:cs="Times New Roman"/>
                <w:sz w:val="28"/>
                <w:szCs w:val="28"/>
                <w:lang w:val="en-US"/>
              </w:rPr>
            </w:pPr>
            <w:r w:rsidRPr="002B10EB">
              <w:rPr>
                <w:rFonts w:ascii="Times New Roman" w:hAnsi="Times New Roman" w:cs="Times New Roman"/>
                <w:sz w:val="28"/>
                <w:szCs w:val="28"/>
                <w:lang w:val="en-US"/>
              </w:rPr>
              <w:t>bolhr@adm.orel.ru</w:t>
            </w:r>
          </w:p>
        </w:tc>
        <w:tc>
          <w:tcPr>
            <w:tcW w:w="62"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6E5BB3" w:rsidRPr="002B10EB" w:rsidRDefault="006E5BB3" w:rsidP="00253302">
            <w:pPr>
              <w:spacing w:after="0"/>
              <w:rPr>
                <w:rFonts w:ascii="Times New Roman" w:hAnsi="Times New Roman" w:cs="Times New Roman"/>
                <w:sz w:val="28"/>
                <w:szCs w:val="28"/>
              </w:rPr>
            </w:pPr>
          </w:p>
        </w:tc>
      </w:tr>
    </w:tbl>
    <w:p w:rsidR="006E5BB3" w:rsidRPr="002B10EB" w:rsidRDefault="006E5BB3" w:rsidP="006E5BB3">
      <w:pPr>
        <w:pStyle w:val="a3"/>
        <w:spacing w:after="0" w:line="240" w:lineRule="auto"/>
        <w:ind w:left="0" w:firstLine="709"/>
        <w:jc w:val="both"/>
        <w:rPr>
          <w:rFonts w:ascii="Times New Roman" w:hAnsi="Times New Roman" w:cs="Times New Roman"/>
          <w:sz w:val="28"/>
          <w:szCs w:val="28"/>
        </w:rPr>
      </w:pP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заявитель) обращаются в администрацию.</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proofErr w:type="gramStart"/>
      <w:r w:rsidRPr="002B10EB">
        <w:rPr>
          <w:rStyle w:val="blk"/>
          <w:rFonts w:ascii="Times New Roman" w:hAnsi="Times New Roman" w:cs="Times New Roman"/>
          <w:sz w:val="28"/>
          <w:szCs w:val="28"/>
        </w:rPr>
        <w:t>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w:t>
      </w:r>
      <w:proofErr w:type="gramEnd"/>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- 10 минут. Время ожидания в очереди при личном обращении не должно превышать 15 минут.</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Если для подготовки ответа на устное обращение требуется более 10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лесного контроля. Письменное обращение регистрируется в день поступления в департамент.</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lastRenderedPageBreak/>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Письменный ответ на обращение подписывается главой района или исполняющим его обязанности должностным лицом и содержит указание на фамилию и номер телефона исполнителя ответа.</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proofErr w:type="gramStart"/>
      <w:r w:rsidRPr="002B10EB">
        <w:rPr>
          <w:rStyle w:val="blk"/>
          <w:rFonts w:ascii="Times New Roman" w:hAnsi="Times New Roman" w:cs="Times New Roman"/>
          <w:sz w:val="28"/>
          <w:szCs w:val="28"/>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 xml:space="preserve">Если текст обращения в письменной форме не поддается прочтению, ответ на обращение не </w:t>
      </w:r>
      <w:proofErr w:type="gramStart"/>
      <w:r w:rsidRPr="002B10EB">
        <w:rPr>
          <w:rStyle w:val="blk"/>
          <w:rFonts w:ascii="Times New Roman" w:hAnsi="Times New Roman" w:cs="Times New Roman"/>
          <w:sz w:val="28"/>
          <w:szCs w:val="28"/>
        </w:rPr>
        <w:t>дается</w:t>
      </w:r>
      <w:proofErr w:type="gramEnd"/>
      <w:r w:rsidRPr="002B10EB">
        <w:rPr>
          <w:rStyle w:val="blk"/>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proofErr w:type="gramStart"/>
      <w:r w:rsidRPr="002B10EB">
        <w:rPr>
          <w:rStyle w:val="blk"/>
          <w:rFonts w:ascii="Times New Roman" w:hAnsi="Times New Roman" w:cs="Times New Roman"/>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района или исполняющим его обязанности должностным лицом, вправе принять решение о безосновательности очередного обращения и прекращении переписки с</w:t>
      </w:r>
      <w:proofErr w:type="gramEnd"/>
      <w:r w:rsidRPr="002B10EB">
        <w:rPr>
          <w:rStyle w:val="blk"/>
          <w:rFonts w:ascii="Times New Roman" w:hAnsi="Times New Roman" w:cs="Times New Roman"/>
          <w:sz w:val="28"/>
          <w:szCs w:val="28"/>
        </w:rPr>
        <w:t xml:space="preserve">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В помещениях администрации предусматриваются места для информирования заявителей и заполнения документов.</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Информационные стенды или приспособления содержат следующую информацию по вопросам осуществления муниципального дорожного контроля:</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выдержки из нормативных правовых актов, содержащих нормы, регулирующие деятельность по осуществлению муниципального дорожного контроля;</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образцы заполнения документов;</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lastRenderedPageBreak/>
        <w:t>справочная информация о должностных лицах администрации, осуществляющих муниципальный дорожный контроль, о графике работы, номерах телефонов, адресах электронной почты;</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текст административного регламента с приложениями.</w:t>
      </w:r>
    </w:p>
    <w:p w:rsidR="006E5BB3" w:rsidRPr="002B10EB" w:rsidRDefault="006E5BB3" w:rsidP="006E5BB3">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6E5BB3" w:rsidRDefault="006E5BB3" w:rsidP="0064520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Услуга предоставляется бесплатно.</w:t>
      </w:r>
    </w:p>
    <w:p w:rsidR="00557A21" w:rsidRDefault="00557A21"/>
    <w:sectPr w:rsidR="00557A21" w:rsidSect="00557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3CD9"/>
    <w:multiLevelType w:val="hybridMultilevel"/>
    <w:tmpl w:val="D2C6B1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20A"/>
    <w:rsid w:val="00557A21"/>
    <w:rsid w:val="00586F81"/>
    <w:rsid w:val="0064520A"/>
    <w:rsid w:val="006E5BB3"/>
    <w:rsid w:val="00982AFF"/>
    <w:rsid w:val="00DD0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20A"/>
    <w:pPr>
      <w:ind w:left="720"/>
      <w:contextualSpacing/>
    </w:pPr>
  </w:style>
  <w:style w:type="character" w:customStyle="1" w:styleId="blk">
    <w:name w:val="blk"/>
    <w:basedOn w:val="a0"/>
    <w:rsid w:val="006E5BB3"/>
  </w:style>
</w:styles>
</file>

<file path=word/webSettings.xml><?xml version="1.0" encoding="utf-8"?>
<w:webSettings xmlns:r="http://schemas.openxmlformats.org/officeDocument/2006/relationships" xmlns:w="http://schemas.openxmlformats.org/wordprocessingml/2006/main">
  <w:divs>
    <w:div w:id="18546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Тюрникова</dc:creator>
  <cp:keywords/>
  <dc:description/>
  <cp:lastModifiedBy>Тюрникова</cp:lastModifiedBy>
  <cp:revision>5</cp:revision>
  <dcterms:created xsi:type="dcterms:W3CDTF">2019-07-15T09:30:00Z</dcterms:created>
  <dcterms:modified xsi:type="dcterms:W3CDTF">2019-07-15T13:05:00Z</dcterms:modified>
</cp:coreProperties>
</file>