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6" w:rsidRPr="002F60D2" w:rsidRDefault="000C50F6" w:rsidP="000C50F6">
      <w:pPr>
        <w:spacing w:after="0" w:line="31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  <w:lang w:eastAsia="ru-RU"/>
        </w:rPr>
      </w:pPr>
      <w:r w:rsidRPr="002F60D2"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  <w:lang w:eastAsia="ru-RU"/>
        </w:rPr>
        <w:t>Статья 39.14 Земельного кодекса. Порядок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Предоставление земельного участка, находящегося в государственной или муниципальной собственности, осуществляется без проведения торгов в следующем порядке: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000728"/>
      <w:bookmarkEnd w:id="0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подготовка схемы расположения земельного участка в случае, если земельный участок предстоит </w:t>
      </w:r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образовать</w:t>
      </w:r>
      <w:proofErr w:type="gramEnd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001602"/>
      <w:bookmarkStart w:id="2" w:name="000729"/>
      <w:bookmarkEnd w:id="1"/>
      <w:bookmarkEnd w:id="2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подача в уполномоченный орган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 </w:t>
      </w:r>
      <w:hyperlink r:id="rId4" w:history="1">
        <w:r w:rsidRPr="002F60D2">
          <w:rPr>
            <w:rFonts w:ascii="Arial" w:eastAsia="Times New Roman" w:hAnsi="Arial" w:cs="Arial"/>
            <w:color w:val="3C5F87"/>
            <w:sz w:val="20"/>
            <w:u w:val="single"/>
            <w:lang w:eastAsia="ru-RU"/>
          </w:rPr>
          <w:t>законом</w:t>
        </w:r>
      </w:hyperlink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государственной регистрации недвижимости". В случае</w:t>
      </w:r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001603"/>
      <w:bookmarkStart w:id="4" w:name="000730"/>
      <w:bookmarkEnd w:id="3"/>
      <w:bookmarkEnd w:id="4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принятие решения о предварительном согласовании предоставления земельного участка в порядке, установленном статьей 39.15 настоящего Кодекса, в случае, если земельный участок предстоит образовать или границы земельного участка подлежат уточнению в соответствии с Федеральным </w:t>
      </w:r>
      <w:hyperlink r:id="rId5" w:history="1">
        <w:r w:rsidRPr="002F60D2">
          <w:rPr>
            <w:rFonts w:ascii="Arial" w:eastAsia="Times New Roman" w:hAnsi="Arial" w:cs="Arial"/>
            <w:color w:val="3C5F87"/>
            <w:sz w:val="20"/>
            <w:u w:val="single"/>
            <w:lang w:eastAsia="ru-RU"/>
          </w:rPr>
          <w:t>законом</w:t>
        </w:r>
      </w:hyperlink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государственной регистрации недвижимости";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001505"/>
      <w:bookmarkStart w:id="6" w:name="000731"/>
      <w:bookmarkEnd w:id="5"/>
      <w:bookmarkEnd w:id="6"/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  <w:proofErr w:type="gramEnd"/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000732"/>
      <w:bookmarkEnd w:id="7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государственной или муниципальной собственности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000733"/>
      <w:bookmarkEnd w:id="8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подача в уполномоченный орган гражданином или юридическим лицом заявления о предоставлении земельного участка;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000734"/>
      <w:bookmarkEnd w:id="9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заключение договора купли-продажи, договора аренды земельного участка, договора безвозмездного пользования земельным участком, принятие уполномоченным органом решения о предоставлении земельного участка в собственность бесплатно, в постоянное (бессрочное) пользование.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000735"/>
      <w:bookmarkEnd w:id="10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Заявление о предварительном согласовании предоставления земельного участка,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Порядок и способы подачи указанных заявлений, если они подаются в форме электронного документа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000736"/>
      <w:bookmarkEnd w:id="11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000737"/>
      <w:bookmarkEnd w:id="12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случаях, предусмотренных подпунктами 4 и 5 статьи 39.5 настоящего Кодекса,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000738"/>
      <w:bookmarkEnd w:id="13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В случаях, предусмотренных подпунктом 7 пункта 2 статьи 39.3, подпунктом 11 пункта 2 статьи 39.6 настоящего Кодекса,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000739"/>
      <w:bookmarkEnd w:id="14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</w:t>
      </w:r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соответствии с настоящим Кодексом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000740"/>
      <w:bookmarkEnd w:id="15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000741"/>
      <w:bookmarkEnd w:id="16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Положения настоящей статьи не применяются в случае: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000742"/>
      <w:bookmarkEnd w:id="17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предоставления земельных участков в собственность граждан бесплатно в соответствии со статьей 39.19 настоящего Кодекса;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000743"/>
      <w:bookmarkEnd w:id="18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заключения договора купли-продажи или договора аренды земельного участка с лицом, подавшим единственную заявку на участие в аукционе, заявителем, признанным единственным участником аукциона, или единственным принявшим участие в аукционе его участником;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000744"/>
      <w:bookmarkEnd w:id="19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заключения договора мены земельного участка, находящегося в государственной или муниципальной собственности, и земельного участка, находящегося в частной собственности, в соответствии со статьей 39.21 настоящего Кодекса;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000745"/>
      <w:bookmarkEnd w:id="20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предоставления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101235"/>
      <w:bookmarkStart w:id="22" w:name="001687"/>
      <w:bookmarkStart w:id="23" w:name="001157"/>
      <w:bookmarkEnd w:id="21"/>
      <w:bookmarkEnd w:id="22"/>
      <w:bookmarkEnd w:id="23"/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заключения договора аренды земельного участка, находящегося в государственной или муниципальной собственности и предназначенного для комплексного развития территории, с победителем торгов на право заключения договора о комплексном развитии территории, иным лицом, имеющим право на заключение данного договора в соответствии с Градостроительным кодексом Российской Федерации, либо юридическим лицом, созданным Российской Федерацией или субъектом Российской Федерации и обеспечивающим в соответствии с Градостроительным</w:t>
      </w:r>
      <w:proofErr w:type="gramEnd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Pr="002F60D2">
          <w:rPr>
            <w:rFonts w:ascii="Arial" w:eastAsia="Times New Roman" w:hAnsi="Arial" w:cs="Arial"/>
            <w:color w:val="3C5F87"/>
            <w:sz w:val="20"/>
            <w:u w:val="single"/>
            <w:lang w:eastAsia="ru-RU"/>
          </w:rPr>
          <w:t>кодексом</w:t>
        </w:r>
      </w:hyperlink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реализацию решения о комплексном развитии территории;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001158"/>
      <w:bookmarkEnd w:id="24"/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</w:t>
      </w:r>
      <w:proofErr w:type="gramEnd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освоения территории в целях строительства и эксплуатации наемного дома социального использования либо с иным лицом, имеющим право на заключение данных договоров в соответствии с Градостроительным </w:t>
      </w:r>
      <w:hyperlink r:id="rId7" w:history="1">
        <w:r w:rsidRPr="002F60D2">
          <w:rPr>
            <w:rFonts w:ascii="Arial" w:eastAsia="Times New Roman" w:hAnsi="Arial" w:cs="Arial"/>
            <w:color w:val="3C5F87"/>
            <w:sz w:val="20"/>
            <w:u w:val="single"/>
            <w:lang w:eastAsia="ru-RU"/>
          </w:rPr>
          <w:t>кодексом</w:t>
        </w:r>
      </w:hyperlink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использования;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002367"/>
      <w:bookmarkStart w:id="26" w:name="101161"/>
      <w:bookmarkEnd w:id="25"/>
      <w:bookmarkEnd w:id="26"/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предоставления земельных участков гражданам в безвозмездное пользование, аренду, собственность в соответствии с Федеральным </w:t>
      </w:r>
      <w:hyperlink r:id="rId8" w:history="1">
        <w:r w:rsidRPr="002F60D2">
          <w:rPr>
            <w:rFonts w:ascii="Arial" w:eastAsia="Times New Roman" w:hAnsi="Arial" w:cs="Arial"/>
            <w:color w:val="3C5F87"/>
            <w:sz w:val="20"/>
            <w:u w:val="single"/>
            <w:lang w:eastAsia="ru-RU"/>
          </w:rPr>
          <w:t>законом</w:t>
        </w:r>
      </w:hyperlink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</w:t>
      </w:r>
      <w:proofErr w:type="gramEnd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Федерации".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001720"/>
      <w:bookmarkStart w:id="28" w:name="000746"/>
      <w:bookmarkEnd w:id="27"/>
      <w:bookmarkEnd w:id="28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</w:t>
      </w:r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порядке),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осуществляется с учетом особенностей, установленных статьей 39.18 настоящего Кодекса.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" w:name="000747"/>
      <w:bookmarkEnd w:id="29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целей, не связанных с их традиционной хозяйственной деятельностью и традиционными промыслами, могут проводиться сходы, референдумы граждан по вопросам предоставления земельных участков для строительства объектов, размещение которых затрагивает законные интересы указанных народов. Предоставление земельных участков осуществляется с учетом результатов данных сходов или референдумов.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" w:name="000748"/>
      <w:bookmarkEnd w:id="30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gramStart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земельных участков, находящихся в федеральной собственности, или земельных участков, государственная собственность на которые не разграничена, Государственной компании "Российские автомобильные дороги" осуществляется с учетом особенностей, установленных Федеральным </w:t>
      </w:r>
      <w:hyperlink r:id="rId9" w:history="1">
        <w:r w:rsidRPr="002F60D2">
          <w:rPr>
            <w:rFonts w:ascii="Arial" w:eastAsia="Times New Roman" w:hAnsi="Arial" w:cs="Arial"/>
            <w:color w:val="3C5F87"/>
            <w:sz w:val="20"/>
            <w:u w:val="single"/>
            <w:lang w:eastAsia="ru-RU"/>
          </w:rPr>
          <w:t>законом</w:t>
        </w:r>
      </w:hyperlink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17 июля 2009 года N 145-ФЗ "О Государственной компании "Российские автомобильные дороги" и о внесении изменений в отдельные законодательные акты Российской Федерации".</w:t>
      </w:r>
      <w:proofErr w:type="gramEnd"/>
    </w:p>
    <w:p w:rsidR="000C50F6" w:rsidRPr="003929AF" w:rsidRDefault="000C50F6" w:rsidP="003929AF">
      <w:pPr>
        <w:spacing w:after="136" w:line="265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50F6" w:rsidRPr="002F60D2" w:rsidRDefault="000C50F6" w:rsidP="000C50F6">
      <w:pPr>
        <w:spacing w:after="272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Аукцион по продаже земельного участка, находящегося в государственной или муниципальной собственности, либо аукцион на право заключения договора аренды земельного участка, находящегося в государственной или муниципальной собственности, проводится в электронной форме, за исключением случаев, предусмотренных пунктом 2 настоящей статьи.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31" w:name="001719"/>
      <w:bookmarkStart w:id="32" w:name="000723"/>
      <w:bookmarkEnd w:id="31"/>
      <w:bookmarkEnd w:id="32"/>
      <w:r w:rsidRPr="002F60D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2. Аукцион не проводится в электронной форме в случаях, если земельный участок предоставляется гражданам для индивидуального жилищного строительства, ведения личного подсобного хозяйства, садоводства, гражданам или крестьянским (фермерским) хозяйствам для осуществления крестьянским (фермерским) хозяйством его </w:t>
      </w:r>
      <w:proofErr w:type="gramStart"/>
      <w:r w:rsidRPr="002F60D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деятельности</w:t>
      </w:r>
      <w:proofErr w:type="gramEnd"/>
      <w:r w:rsidRPr="002F60D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либо предназначен для сельскохозяйственного производства.</w:t>
      </w:r>
    </w:p>
    <w:p w:rsidR="000C50F6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000724"/>
      <w:bookmarkEnd w:id="33"/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проведения аукциона в электронной форме опубликование извещения о проведении аукциона в электронной форме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требуется.</w:t>
      </w:r>
    </w:p>
    <w:p w:rsidR="000C50F6" w:rsidRPr="002F60D2" w:rsidRDefault="000C50F6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" w:name="000725"/>
      <w:bookmarkEnd w:id="34"/>
      <w:r w:rsidRPr="002F6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Порядок проведения аукциона в электронной форме устанавливается федеральным законом.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311E41"/>
    <w:rsid w:val="003929AF"/>
    <w:rsid w:val="004A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01052016-n-119-fz-o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radostroitelnyi-kode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gradostroitelnyi-kode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federalnyi-zakon-ot-13072015-n-218-fz-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dact.ru/law/federalnyi-zakon-ot-13072015-n-218-fz-o/" TargetMode="External"/><Relationship Id="rId9" Type="http://schemas.openxmlformats.org/officeDocument/2006/relationships/hyperlink" Target="https://sudact.ru/law/federalnyi-zakon-ot-17072009-n-14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новый синец</cp:lastModifiedBy>
  <cp:revision>2</cp:revision>
  <dcterms:created xsi:type="dcterms:W3CDTF">2021-12-09T08:46:00Z</dcterms:created>
  <dcterms:modified xsi:type="dcterms:W3CDTF">2021-12-09T08:50:00Z</dcterms:modified>
</cp:coreProperties>
</file>