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pStyle w:val="a0"/>
        <w:jc w:val="center"/>
        <w:rPr>
          <w:b/>
          <w:i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40299"/>
            <wp:effectExtent l="0" t="0" r="0" b="0"/>
            <wp:docPr id="4" name="Рисунок 4" descr="Шапка 2 Град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2 ГрадПроек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ГЕНЕРАЛЬНЫЙ ПЛАН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Боровского сельского поселения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Болховского района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Орловской области </w:t>
      </w: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 о территориальном планировании</w:t>
      </w:r>
    </w:p>
    <w:p>
      <w:pPr>
        <w:overflowPunct w:val="0"/>
        <w:autoSpaceDE w:val="0"/>
        <w:autoSpaceDN w:val="0"/>
        <w:adjustRightInd w:val="0"/>
        <w:spacing w:line="360" w:lineRule="auto"/>
        <w:ind w:right="592"/>
        <w:jc w:val="center"/>
        <w:rPr>
          <w:b/>
          <w:caps/>
          <w:sz w:val="28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28"/>
          <w:szCs w:val="28"/>
        </w:rPr>
      </w:pPr>
    </w:p>
    <w:p>
      <w:pPr>
        <w:pStyle w:val="a0"/>
        <w:spacing w:line="240" w:lineRule="exact"/>
        <w:ind w:right="592"/>
        <w:jc w:val="center"/>
        <w:rPr>
          <w:rFonts w:ascii="Arial Narrow" w:hAnsi="Arial Narrow"/>
          <w:sz w:val="32"/>
          <w:szCs w:val="32"/>
        </w:rPr>
        <w:sectPr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317" w:right="850" w:bottom="899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>Орёл 2021 г.</w:t>
      </w:r>
      <w:r>
        <w:rPr>
          <w:rFonts w:ascii="Arial Narrow" w:hAnsi="Arial Narrow"/>
          <w:sz w:val="32"/>
          <w:szCs w:val="32"/>
        </w:rPr>
        <w:br w:type="page"/>
      </w:r>
    </w:p>
    <w:p>
      <w:pPr>
        <w:pStyle w:val="a0"/>
        <w:spacing w:line="240" w:lineRule="exact"/>
        <w:ind w:right="592"/>
        <w:jc w:val="center"/>
        <w:rPr>
          <w:b/>
          <w:sz w:val="28"/>
          <w:szCs w:val="28"/>
        </w:rPr>
      </w:pPr>
    </w:p>
    <w:p>
      <w:pPr>
        <w:pStyle w:val="a0"/>
        <w:jc w:val="center"/>
        <w:rPr>
          <w:b/>
          <w:i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40299"/>
            <wp:effectExtent l="0" t="0" r="0" b="0"/>
            <wp:docPr id="3" name="Рисунок 3" descr="Шапка 2 Град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2 ГрадПроек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ГЕНЕРАЛЬНЫЙ ПЛАН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Боровского сельского поселения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Болховского района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Орловской области </w:t>
      </w:r>
    </w:p>
    <w:p>
      <w:pPr>
        <w:pStyle w:val="a0"/>
        <w:ind w:right="-143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 о территориальном планировании</w:t>
      </w: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autoSpaceDE w:val="0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 отдела</w:t>
            </w:r>
            <w:r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>
            <w:pPr>
              <w:autoSpaceDE w:val="0"/>
              <w:ind w:left="318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ind w:left="318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sz w:val="26"/>
                <w:szCs w:val="26"/>
                <w:lang w:eastAsia="ar-SA"/>
              </w:rPr>
              <w:t>Т.С. Грудева</w:t>
            </w: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О.И. Верхутина</w:t>
            </w: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Орёл 2021 г.</w:t>
      </w:r>
    </w:p>
    <w:p>
      <w:pPr>
        <w:pStyle w:val="a0"/>
        <w:spacing w:line="240" w:lineRule="exact"/>
        <w:ind w:right="592"/>
        <w:jc w:val="center"/>
        <w:rPr>
          <w:b/>
          <w:sz w:val="28"/>
          <w:szCs w:val="28"/>
        </w:rPr>
      </w:pPr>
    </w:p>
    <w:p>
      <w:pPr>
        <w:pStyle w:val="a0"/>
        <w:spacing w:line="240" w:lineRule="exact"/>
        <w:ind w:right="592"/>
        <w:rPr>
          <w:b/>
          <w:sz w:val="28"/>
          <w:szCs w:val="28"/>
        </w:rPr>
        <w:sectPr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>
      <w:pPr>
        <w:pStyle w:val="a0"/>
        <w:spacing w:line="240" w:lineRule="exact"/>
        <w:ind w:right="5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СОСТАВ ПРОЕКТА</w:t>
      </w:r>
    </w:p>
    <w:p>
      <w:pPr>
        <w:pStyle w:val="19"/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49"/>
        <w:gridCol w:w="1539"/>
        <w:gridCol w:w="725"/>
      </w:tblGrid>
      <w:tr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Инв. №</w:t>
            </w:r>
          </w:p>
        </w:tc>
      </w:tr>
      <w:tr>
        <w:trPr>
          <w:trHeight w:val="22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Генеральный план Боровского сельского поселения Болховского района </w:t>
            </w:r>
          </w:p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Орловской области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Положение о территориальном планировании Боровского сельского поселения Болховского района </w:t>
            </w:r>
          </w:p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Орловской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Карты территориального планирования Боровского сельского поселения Болховского района Орловской области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87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Карта границ населенных пунктов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87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Карта планируемого размещения объектов местного значения поселения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87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Карта функциональных зон поселения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Материалы по обоснованию к проекту Генерального плана Боровского сельского поселения Болховского района Орловской области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Материалы по обоснованию проекта Генерального плана Боровского сельского поселения Болховского района </w:t>
            </w:r>
          </w:p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Орловской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Материалы по обоснованию проекта Генерального плана Боровского сельского поселения Болховского района Орловской области </w:t>
            </w:r>
          </w:p>
          <w:p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виде карт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4. 1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ind w:left="176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Карта зон с особыми условиями использования территории, 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both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Электронная версия проекта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</w:tbl>
    <w:p>
      <w:pPr>
        <w:pStyle w:val="10"/>
        <w:spacing w:before="0" w:after="0"/>
        <w:jc w:val="center"/>
        <w:rPr>
          <w:rFonts w:cs="Times New Roman"/>
          <w:lang w:eastAsia="en-US"/>
        </w:rPr>
      </w:pPr>
    </w:p>
    <w:p>
      <w:pPr>
        <w:ind w:firstLine="851"/>
        <w:rPr>
          <w:lang w:eastAsia="en-US"/>
        </w:rPr>
      </w:pPr>
    </w:p>
    <w:p>
      <w:pPr>
        <w:ind w:firstLine="851"/>
        <w:rPr>
          <w:lang w:eastAsia="en-US"/>
        </w:rPr>
      </w:pPr>
    </w:p>
    <w:p>
      <w:pPr>
        <w:pStyle w:val="a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pStyle w:val="16"/>
      </w:pPr>
      <w:bookmarkStart w:id="0" w:name="_Toc212275736"/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СОДЕРЖАНИЕ</w:t>
      </w:r>
    </w:p>
    <w:p>
      <w:pPr>
        <w:pStyle w:val="16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TOC \o "1-3" \h \z </w:instrText>
      </w:r>
      <w:r>
        <w:rPr>
          <w:sz w:val="26"/>
          <w:szCs w:val="26"/>
        </w:rPr>
        <w:fldChar w:fldCharType="separate"/>
      </w:r>
      <w:hyperlink w:anchor="_Toc90302979" w:history="1">
        <w:r>
          <w:rPr>
            <w:rStyle w:val="a5"/>
          </w:rPr>
          <w:t>ОБЩАЯ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_Toc90302979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16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hyperlink w:anchor="_Toc90302980" w:history="1">
        <w:r>
          <w:rPr>
            <w:rStyle w:val="a5"/>
            <w:b/>
          </w:rPr>
          <w:t>I.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_Toc90302980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1" w:history="1">
        <w:r>
          <w:rPr>
            <w:rStyle w:val="a5"/>
            <w:noProof/>
          </w:rPr>
          <w:t>I.1 Перечень мероприятий по территориальному планированию местного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2" w:history="1">
        <w:r>
          <w:rPr>
            <w:rStyle w:val="a5"/>
            <w:noProof/>
          </w:rPr>
          <w:t>I.2. Мероприятия по административно-территориальному устройству территории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3" w:history="1">
        <w:r>
          <w:rPr>
            <w:rStyle w:val="a5"/>
            <w:noProof/>
          </w:rPr>
          <w:t>I.3. Сводные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pStyle w:val="16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hyperlink w:anchor="_Toc90302984" w:history="1">
        <w:r>
          <w:rPr>
            <w:rStyle w:val="a5"/>
            <w:b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_Toc90302984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5" w:history="1">
        <w:r>
          <w:rPr>
            <w:rStyle w:val="a5"/>
            <w:noProof/>
          </w:rPr>
          <w:t>II.1 Параметры функциональных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6" w:history="1">
        <w:r>
          <w:rPr>
            <w:rStyle w:val="a5"/>
            <w:noProof/>
          </w:rPr>
          <w:t>Параметры функциональных зон населенных пунктов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7" w:history="1">
        <w:r>
          <w:rPr>
            <w:rStyle w:val="a5"/>
            <w:noProof/>
          </w:rPr>
          <w:t>II.2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>
      <w:pPr>
        <w:pStyle w:val="16"/>
      </w:pPr>
      <w:r>
        <w:rPr>
          <w:sz w:val="26"/>
          <w:szCs w:val="26"/>
        </w:rPr>
        <w:fldChar w:fldCharType="end"/>
      </w:r>
    </w:p>
    <w:p>
      <w:pPr>
        <w:rPr>
          <w:sz w:val="28"/>
          <w:szCs w:val="28"/>
        </w:rPr>
      </w:pPr>
    </w:p>
    <w:p>
      <w:pPr>
        <w:pStyle w:val="1"/>
        <w:rPr>
          <w:i w:val="0"/>
          <w:sz w:val="26"/>
          <w:szCs w:val="26"/>
        </w:rPr>
      </w:pPr>
      <w:r>
        <w:br w:type="page"/>
      </w:r>
      <w:bookmarkStart w:id="1" w:name="_Toc231969243"/>
      <w:bookmarkStart w:id="2" w:name="_Toc90302979"/>
      <w:r>
        <w:rPr>
          <w:i w:val="0"/>
          <w:sz w:val="26"/>
          <w:szCs w:val="26"/>
        </w:rPr>
        <w:lastRenderedPageBreak/>
        <w:t>ОБЩ</w:t>
      </w:r>
      <w:bookmarkEnd w:id="0"/>
      <w:bookmarkEnd w:id="1"/>
      <w:r>
        <w:rPr>
          <w:i w:val="0"/>
          <w:sz w:val="26"/>
          <w:szCs w:val="26"/>
        </w:rPr>
        <w:t>АЯ ЧАСТЬ</w:t>
      </w:r>
      <w:bookmarkEnd w:id="2"/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Генеральный план Боровского сельского поселения Болховского района Орловской области </w:t>
      </w:r>
      <w:r>
        <w:rPr>
          <w:bCs/>
          <w:sz w:val="26"/>
          <w:szCs w:val="26"/>
        </w:rPr>
        <w:t xml:space="preserve">разработан в соответствии </w:t>
      </w:r>
      <w:r>
        <w:rPr>
          <w:sz w:val="26"/>
          <w:szCs w:val="26"/>
        </w:rPr>
        <w:t>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Приказа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</w:t>
      </w:r>
      <w:r>
        <w:rPr>
          <w:sz w:val="26"/>
          <w:szCs w:val="26"/>
          <w:lang w:eastAsia="ar-SA"/>
        </w:rPr>
        <w:t xml:space="preserve">; </w:t>
      </w:r>
      <w:r>
        <w:rPr>
          <w:sz w:val="26"/>
          <w:szCs w:val="26"/>
        </w:rPr>
        <w:t xml:space="preserve"> Приказа Министерства регионального развития Российской Федерации от 30 января 2012 г.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 и местного значения»,  Приказа Министерства регионального развития Российской Федерации от 26 мая 2011 года №244 «Об утверждении методических рекомендаций по разработке проектов генеральных планов поселений и городских округов».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Генеральный план вызвано: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приведением в соответствие с требованиями действующего законодательства состава и содержания документов;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приведением границ населенных пунктов, а также функционального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описанием местоположения границ населенных пунктов.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23 Градостроительного кодекса РФ Генеральный план содержит: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1) положение о территориальном планировании;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bookmarkStart w:id="3" w:name="Par7"/>
      <w:bookmarkEnd w:id="3"/>
      <w:r>
        <w:rPr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bookmarkStart w:id="4" w:name="Par9"/>
      <w:bookmarkEnd w:id="4"/>
      <w:r>
        <w:rPr>
          <w:sz w:val="26"/>
          <w:szCs w:val="26"/>
        </w:rPr>
        <w:t>4) карту функциональных зон поселения или городского округа.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территориальном планировании включает в себя: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сведения о видах, назначении и наименованиях планируемых для размещения объектов местного значения поселения, городского округа, их основные </w:t>
      </w:r>
      <w:r>
        <w:rPr>
          <w:sz w:val="26"/>
          <w:szCs w:val="26"/>
        </w:rPr>
        <w:lastRenderedPageBreak/>
        <w:t>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>
      <w:pPr>
        <w:spacing w:line="276" w:lineRule="auto"/>
        <w:ind w:left="-284" w:firstLine="56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bCs/>
          <w:sz w:val="26"/>
          <w:szCs w:val="26"/>
        </w:rPr>
        <w:t>.</w:t>
      </w:r>
      <w:bookmarkStart w:id="5" w:name="_Toc33604368"/>
      <w:bookmarkStart w:id="6" w:name="_Toc38016704"/>
      <w:bookmarkStart w:id="7" w:name="_Toc47530892"/>
      <w:bookmarkStart w:id="8" w:name="_Toc53668032"/>
      <w:bookmarkStart w:id="9" w:name="_Toc371001546"/>
      <w:bookmarkStart w:id="10" w:name="_Toc231969245"/>
    </w:p>
    <w:p/>
    <w:p>
      <w:pPr>
        <w:pStyle w:val="1"/>
        <w:tabs>
          <w:tab w:val="clear" w:pos="0"/>
          <w:tab w:val="num" w:pos="-284"/>
        </w:tabs>
        <w:spacing w:line="276" w:lineRule="auto"/>
        <w:ind w:left="-284"/>
        <w:jc w:val="both"/>
        <w:rPr>
          <w:b/>
          <w:i w:val="0"/>
          <w:sz w:val="26"/>
          <w:szCs w:val="26"/>
        </w:rPr>
      </w:pPr>
      <w:bookmarkStart w:id="11" w:name="_Toc90302980"/>
      <w:r>
        <w:rPr>
          <w:b/>
          <w:i w:val="0"/>
          <w:sz w:val="26"/>
          <w:szCs w:val="26"/>
        </w:rPr>
        <w:t>I.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5"/>
      <w:bookmarkEnd w:id="6"/>
      <w:bookmarkEnd w:id="7"/>
      <w:bookmarkEnd w:id="8"/>
      <w:bookmarkEnd w:id="11"/>
    </w:p>
    <w:p>
      <w:pPr>
        <w:tabs>
          <w:tab w:val="num" w:pos="-284"/>
        </w:tabs>
        <w:spacing w:line="276" w:lineRule="auto"/>
        <w:ind w:left="-284" w:firstLine="568"/>
        <w:jc w:val="both"/>
        <w:rPr>
          <w:b/>
          <w:sz w:val="26"/>
          <w:szCs w:val="26"/>
        </w:rPr>
      </w:pPr>
    </w:p>
    <w:p>
      <w:pPr>
        <w:pStyle w:val="30"/>
        <w:tabs>
          <w:tab w:val="clear" w:pos="0"/>
          <w:tab w:val="num" w:pos="-284"/>
        </w:tabs>
        <w:spacing w:line="276" w:lineRule="auto"/>
        <w:ind w:left="-284" w:firstLine="568"/>
        <w:jc w:val="both"/>
        <w:rPr>
          <w:rFonts w:cs="Times New Roman"/>
          <w:kern w:val="1"/>
          <w:sz w:val="26"/>
          <w:szCs w:val="26"/>
        </w:rPr>
      </w:pPr>
      <w:bookmarkStart w:id="12" w:name="_Toc38016706"/>
      <w:bookmarkStart w:id="13" w:name="_Toc47530893"/>
      <w:bookmarkStart w:id="14" w:name="_Toc53668033"/>
      <w:bookmarkStart w:id="15" w:name="_Toc90302981"/>
      <w:r>
        <w:rPr>
          <w:rFonts w:cs="Times New Roman"/>
          <w:kern w:val="1"/>
          <w:sz w:val="26"/>
          <w:szCs w:val="26"/>
        </w:rPr>
        <w:t>I.1 Перечень мероприятий по территориальному планированию местного значения</w:t>
      </w:r>
      <w:bookmarkEnd w:id="9"/>
      <w:bookmarkEnd w:id="12"/>
      <w:bookmarkEnd w:id="13"/>
      <w:bookmarkEnd w:id="14"/>
      <w:bookmarkEnd w:id="15"/>
    </w:p>
    <w:p>
      <w:pPr>
        <w:tabs>
          <w:tab w:val="num" w:pos="-284"/>
        </w:tabs>
        <w:spacing w:line="276" w:lineRule="auto"/>
        <w:ind w:left="-284" w:firstLine="568"/>
        <w:jc w:val="both"/>
        <w:rPr>
          <w:b/>
          <w:i/>
          <w:iCs/>
        </w:rPr>
      </w:pPr>
    </w:p>
    <w:p>
      <w:pPr>
        <w:tabs>
          <w:tab w:val="num" w:pos="-284"/>
        </w:tabs>
        <w:spacing w:line="276" w:lineRule="auto"/>
        <w:ind w:left="-284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Перечень мероприятий по территориальному</w:t>
      </w:r>
    </w:p>
    <w:p>
      <w:pPr>
        <w:tabs>
          <w:tab w:val="num" w:pos="-284"/>
        </w:tabs>
        <w:spacing w:line="276" w:lineRule="auto"/>
        <w:ind w:left="-284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планированию местного значения</w:t>
      </w:r>
    </w:p>
    <w:p>
      <w:pPr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Таблица 1.</w:t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"/>
        <w:gridCol w:w="7020"/>
        <w:gridCol w:w="1986"/>
      </w:tblGrid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bookmarkEnd w:id="10"/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пп 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>
            <w:pPr>
              <w:pStyle w:val="ConsPlusNormal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Сроки реализации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ConsPlusNormal"/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Водоснабжение.</w:t>
            </w:r>
            <w:r>
              <w:rPr>
                <w:shd w:val="clear" w:color="auto" w:fill="FFFFFF"/>
              </w:rPr>
              <w:t xml:space="preserve"> Реконструкция  артезианских скважин, в виду большого износа.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Строительства новых водозаборных скважин производительностью  по 10 м3/час.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Размещение блочных водоочистных сооружений, производительностью 100 м3/сут, на площадках водозаборных сооружений.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Ремонт водонапорных башен.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1.5.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Строительство новых магистральных кольцевых водопроводных сетей из полиэтилена Ду 63 -110 мм.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1.6.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новых и замена старых приборов учета водопотребления.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1.7.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гидрантов на сети для пожаротушения.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1.8.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Улучшение качества очистки питьевой воды.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Водоотведение.</w:t>
            </w:r>
            <w:r>
              <w:rPr>
                <w:shd w:val="clear" w:color="auto" w:fill="FFFFFF"/>
              </w:rPr>
              <w:t xml:space="preserve"> Строительство сетей централизованной канализации в д. Козюлькина.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Строительство КНС производительностью до 100 м3/сут.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Строительство новых напорных канализационных трубопроводов из полиэтилена.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Внедрение септиков и выгребных ям в неканализованных населенных пунктах.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b/>
                <w:shd w:val="clear" w:color="auto" w:fill="FFFFFF"/>
              </w:rPr>
              <w:t>Газоснабжение.</w:t>
            </w:r>
            <w:r>
              <w:rPr>
                <w:rFonts w:eastAsia="Arial" w:cs="Arial"/>
                <w:shd w:val="clear" w:color="auto" w:fill="FFFFFF"/>
              </w:rPr>
              <w:t xml:space="preserve"> Газификация жилых домов, предприятий и хозяйств.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Выполнение программы энергосбережения.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Теплоснабжение.</w:t>
            </w:r>
            <w:r>
              <w:rPr>
                <w:shd w:val="clear" w:color="auto" w:fill="FFFFFF"/>
              </w:rPr>
              <w:t xml:space="preserve"> Модернизация существующих и строительство новых котельных на базе современных высокоэффективных котлоагрегатов, технологий и материалов.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очередь, 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b/>
                <w:shd w:val="clear" w:color="auto" w:fill="FFFFFF"/>
              </w:rPr>
              <w:t>Электроснабжение.</w:t>
            </w:r>
            <w:r>
              <w:rPr>
                <w:rFonts w:eastAsia="Arial" w:cs="Arial"/>
                <w:shd w:val="clear" w:color="auto" w:fill="FFFFFF"/>
              </w:rPr>
              <w:t xml:space="preserve"> Реконструкция существующих трансформаторных подстанций 10/0,4 кВ.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Реконструкция сетей электроснабжения, замена деревянных опор на бетонные.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Строительство новых сетей электроснабжения 0,4 кВ.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Применение комплектующих нового поколения.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5.5.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Использование энергосберегающих приборов.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5.6.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Строительство трансформаторной подстанции 10/0,4 кВ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Cs w:val="0"/>
                <w:shd w:val="clear" w:color="auto" w:fill="FFFFFF"/>
              </w:rPr>
              <w:t>Связь.</w:t>
            </w:r>
            <w:r>
              <w:rPr>
                <w:rStyle w:val="a7"/>
                <w:b w:val="0"/>
                <w:bCs w:val="0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rFonts w:eastAsia="Times New Roman" w:cs="Arial"/>
                <w:b w:val="0"/>
                <w:bCs w:val="0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Развитие информационных телекоммуникационных сетей и сетей передачи данных (мультисервисная сеть) с предоставлением населению различных мультимедийных услуг, включая «Интернет».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 w:val="0"/>
                <w:bCs w:val="0"/>
                <w:shd w:val="clear" w:color="auto" w:fill="FFFFFF"/>
              </w:rPr>
              <w:t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rFonts w:eastAsia="Times New Roman" w:cs="Arial"/>
                <w:b w:val="0"/>
                <w:bCs w:val="0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center"/>
              <w:rPr>
                <w:rFonts w:eastAsia="Arial" w:cs="Arial"/>
                <w:i/>
                <w:shd w:val="clear" w:color="auto" w:fill="FFFFFF"/>
              </w:rPr>
            </w:pPr>
            <w:r>
              <w:rPr>
                <w:rFonts w:eastAsia="Arial" w:cs="Arial"/>
                <w:i/>
                <w:shd w:val="clear" w:color="auto" w:fill="FFFFFF"/>
              </w:rPr>
              <w:t>Траспортная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both"/>
            </w:pPr>
            <w:r>
              <w:t>Капитальный ремонт и реконструкция существующей сети региональных дорог и дорожных искусственных сооружений.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t>Строительство обходов населенных пунктов.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t>Сооружение мостовых переходов по направлению новых автомобильных дорог.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 xml:space="preserve">Строительство дорог в районе нового строительства.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2.5.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2.6.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2.7.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Увеличение транспортной доступности и связанности сельских населенных пунктов между собой через сеть автомобильных дорог.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2.8.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придорожного сервиса.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2.9.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механизированной уборки улиц в зимний период.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center"/>
              <w:rPr>
                <w:rFonts w:eastAsia="Arial" w:cs="Arial"/>
                <w:i/>
                <w:shd w:val="clear" w:color="auto" w:fill="FFFFFF"/>
              </w:rPr>
            </w:pPr>
            <w:r>
              <w:rPr>
                <w:rFonts w:eastAsia="Arial" w:cs="Arial"/>
                <w:i/>
                <w:shd w:val="clear" w:color="auto" w:fill="FFFFFF"/>
              </w:rPr>
              <w:t>Жилая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ind w:firstLine="19"/>
              <w:jc w:val="both"/>
            </w:pPr>
            <w:r>
      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архитектурно-пространственной среды жилых зон.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rFonts w:eastAsia="Arial" w:cs="Arial"/>
                <w:i/>
                <w:sz w:val="24"/>
                <w:szCs w:val="24"/>
                <w:shd w:val="clear" w:color="auto" w:fill="FFFFFF"/>
              </w:rPr>
              <w:t>Социальная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4.1.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jc w:val="both"/>
            </w:pPr>
            <w:r>
              <w:rPr>
                <w:bCs/>
              </w:rPr>
              <w:t>Строительство школы в д. Козюлькино вместимостью 100 мест.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4.2.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Организация подвозки школьными автобусами учеников из отдаленных сел.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99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4.3.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Оснащение медицинских учреждений нормативным медицинским инструментом и оборудованием.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left w:val="single" w:sz="1" w:space="0" w:color="000000"/>
              <w:bottom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4.4.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2" w:space="0" w:color="000000"/>
            </w:tcBorders>
          </w:tcPr>
          <w:p>
            <w:pPr>
              <w:jc w:val="both"/>
            </w:pPr>
            <w:r>
              <w:rPr>
                <w:bCs/>
              </w:rPr>
              <w:t>Ремонт и инженерное оборудование существующих медицинских учреждений.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4.5.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Обеспечение специальным транспортом учреждений здравоохранения.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4.6.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физкультурно – оздоровительного комплекса в д. Козюлькина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4.7.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плоскостных спортивных сооружений общей площадью 240 кв.м.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4.8.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Реконструкция библиотеки в д. Козюлькина.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4.9.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Реконструкция сельского дома культуры д. Козюлькина.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70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Объекты массового отдыха жителей поселения, благоустройства и озеленения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5.1.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rFonts w:eastAsia="TimesNewRomanPSMT"/>
              </w:rPr>
            </w:pPr>
            <w:r>
              <w:t>Благоустройство и устройство внутриквартальных зон отдыха и детских игровых площадок на территории населенных пунктов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5.2.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rFonts w:eastAsia="TimesNewRomanPSMT"/>
              </w:rPr>
            </w:pPr>
            <w:r>
              <w:t>Благоустройство участков, прилегающих к общественным зданиям, существующим участкам рекреационного озеленения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5.3.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both"/>
              <w:rPr>
                <w:rFonts w:eastAsia="TimesNewRomanPSMT"/>
              </w:rPr>
            </w:pPr>
            <w:r>
              <w:t>Устройство пешеходных тротуаров по улицам населенных пунктов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a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Коммунально - складские объекты и объекты промышленного производства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6.1.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b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Реанимация существующих недействующих сельскохозяйственных предприятий с использованием существующей инженерной и транспортной инфраструктуры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b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Организация сбора и вывоза бытовых отходов и мусора, организация мест захоронения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7.1.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both"/>
            </w:pPr>
            <w:r>
              <w:t>На территории перспективной застройки необходимо определение и обустройство земельных участков для размещения контейнерных площадок для временного хранения твердых бытовых отходов.</w:t>
            </w:r>
          </w:p>
          <w:p>
            <w:pPr>
              <w:snapToGrid w:val="0"/>
              <w:jc w:val="both"/>
              <w:rPr>
                <w:rFonts w:eastAsia="TimesNewRomanPSMT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7.2.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both"/>
            </w:pPr>
            <w:r>
              <w:t>Разработка генеральной схемы системы сбора и транспортировки бытовых отходов на территории сельского поселения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7.3.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/>
              <w:snapToGrid w:val="0"/>
              <w:jc w:val="both"/>
            </w:pPr>
            <w:r>
              <w:rPr>
                <w:rFonts w:eastAsia="TimesNewRomanPSMT"/>
              </w:rPr>
              <w:t>Строительство мусороперезагрузочных станций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</w:tbl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>
      <w:pPr>
        <w:widowControl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bCs/>
          <w:iCs/>
          <w:color w:val="000000" w:themeColor="text1"/>
          <w:kern w:val="0"/>
          <w:sz w:val="26"/>
          <w:szCs w:val="26"/>
          <w:lang w:eastAsia="en-US"/>
        </w:rPr>
      </w:pPr>
      <w:r>
        <w:rPr>
          <w:rFonts w:eastAsia="Calibri"/>
          <w:bCs/>
          <w:iCs/>
          <w:color w:val="000000" w:themeColor="text1"/>
          <w:kern w:val="0"/>
          <w:sz w:val="26"/>
          <w:szCs w:val="26"/>
          <w:lang w:eastAsia="en-US"/>
        </w:rPr>
        <w:t>На основании Акта Управления ветеринарии по Орловской области от 26 апреля 2021 года №1 «О ликвидации неиспользуемого скотомогильника» планируется исключение скотомогильника.</w:t>
      </w:r>
    </w:p>
    <w:p>
      <w:pPr>
        <w:spacing w:line="276" w:lineRule="auto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 отношении объектов культурного наследия местного значения предусмотрены следующие мероприятия: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2.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8722"/>
      </w:tblGrid>
      <w:tr>
        <w:trPr>
          <w:tblCellSpacing w:w="0" w:type="dxa"/>
        </w:trPr>
        <w:tc>
          <w:tcPr>
            <w:tcW w:w="450" w:type="pct"/>
            <w:shd w:val="clear" w:color="auto" w:fill="CCCCCC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50" w:type="pct"/>
            <w:shd w:val="clear" w:color="auto" w:fill="CCCCCC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>
            <w:pPr>
              <w:jc w:val="center"/>
              <w:rPr>
                <w:b/>
              </w:rPr>
            </w:pPr>
          </w:p>
        </w:tc>
      </w:tr>
      <w:tr>
        <w:trPr>
          <w:trHeight w:val="401"/>
          <w:tblCellSpacing w:w="0" w:type="dxa"/>
        </w:trPr>
        <w:tc>
          <w:tcPr>
            <w:tcW w:w="450" w:type="pct"/>
          </w:tcPr>
          <w:p>
            <w:r>
              <w:t>1.</w:t>
            </w:r>
          </w:p>
          <w:p/>
        </w:tc>
        <w:tc>
          <w:tcPr>
            <w:tcW w:w="4550" w:type="pct"/>
          </w:tcPr>
          <w:p>
            <w:pPr>
              <w:jc w:val="both"/>
            </w:pPr>
            <w:r>
              <w:t>Пополнение списка объектов культурного наследия Боровского поселения в соответствии со спецификой исторических событий, происходивших на территории поселения.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2.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3.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Составление списков объектов нематериального и устного наследия, потенциальных для взятия под охрану и обеспечение их сохранения.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4.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5.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6.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7.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 xml:space="preserve">Разработка для всех населенных пунктов проектов зон охраны объектов культурного наследия. 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8.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      </w:r>
          </w:p>
          <w:p/>
        </w:tc>
      </w:tr>
    </w:tbl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851"/>
        <w:jc w:val="center"/>
        <w:rPr>
          <w:b/>
          <w:i/>
          <w:sz w:val="26"/>
          <w:szCs w:val="26"/>
        </w:rPr>
      </w:pPr>
    </w:p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85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 по охране окружающей среды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3.</w:t>
      </w:r>
    </w:p>
    <w:tbl>
      <w:tblPr>
        <w:tblW w:w="964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8726"/>
      </w:tblGrid>
      <w:tr>
        <w:tc>
          <w:tcPr>
            <w:tcW w:w="915" w:type="dxa"/>
            <w:shd w:val="clear" w:color="auto" w:fill="CCCCCC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№ пп</w:t>
            </w:r>
          </w:p>
        </w:tc>
        <w:tc>
          <w:tcPr>
            <w:tcW w:w="8726" w:type="dxa"/>
            <w:shd w:val="clear" w:color="auto" w:fill="CCCCCC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Наименование мероприятия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Атмосферный воздух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Произведение расчетов проектов СЗЗ предприятий и введение СЗЗ в действие, вид деятельности и класс опасности предприятий должны соответствовать заявленным требованиям.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2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Организация выбросов загрязняющих веществ в атмосферу и оснащение источников выбросов газопылеулавливающими установками, своевременная паспортизация вентиляционных устройств и газопылеочистных установок с оценкой их эффективности.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3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Осуществление перевода автотранспорта на газовое топливо, с применением каталитических фильтров.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Поверхностные воды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4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 xml:space="preserve">Строительство современных очистных сооружений; строительство централизованной системы водоотведения 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5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Обеспечение сбора и очистки поверхностных стоков с территории жилой и промышленной застройки в населенных пунктах, в первую очередь на предприятиях по переработке сельскохозяйственной продукции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  <w:color w:val="000000"/>
                <w:lang w:eastAsia="en-US" w:bidi="en-US"/>
              </w:rPr>
            </w:pPr>
            <w:r>
              <w:rPr>
                <w:b/>
                <w:bCs/>
                <w:i/>
                <w:iCs/>
                <w:color w:val="000000"/>
                <w:lang w:eastAsia="en-US" w:bidi="en-US"/>
              </w:rPr>
              <w:t>Подземные воды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6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Ликвидация непригодных к дальнейшей эксплуатации скважин, наличие зон санитарной охраны на действующих водозаборах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7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 xml:space="preserve">Проведение систем учета и контроля над потреблением питьевой воды; 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8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Изучение качества подземных вод и гидродинамического режима на водозаборах и в зонах их влияния;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9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 xml:space="preserve">Обеспечение качества питьевой воды, подаваемой населению, путем внедрения средств очистки. 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  <w:color w:val="000000"/>
                <w:lang w:eastAsia="en-US" w:bidi="en-US"/>
              </w:rPr>
            </w:pPr>
            <w:r>
              <w:rPr>
                <w:b/>
                <w:bCs/>
                <w:i/>
                <w:iCs/>
                <w:color w:val="000000"/>
                <w:lang w:eastAsia="en-US" w:bidi="en-US"/>
              </w:rPr>
              <w:t>Почвы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10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Создание вдоль автомобильных дорог лесных полезащитных полос;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11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эффективность, вносимых удобрений;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12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Принятие мер по сохранению плодородия почв, посредством защиты их от эрозии, на основе агрофитомелиоративных приемов и биоинженерных сооружений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Обращение с отходами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13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Утилизация транспортных отходов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14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Утилизация производственных отходов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15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Разработка генеральной схемы санитарной очистки на территории поселения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16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Внедрение комплексной механизации санитарной очистки поселения;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17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Организация селективного сбора отходов в жилых образованиях в сменные контейнеры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18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Заключение договоров на сдачу вторичного сырья на дальнейшую переработку за пределами населенного пункта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Растительность и животный мир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19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Максимальное сохранение участков защитных лесных насаждений</w:t>
            </w:r>
          </w:p>
        </w:tc>
      </w:tr>
    </w:tbl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>
      <w:pPr>
        <w:pStyle w:val="30"/>
        <w:spacing w:line="276" w:lineRule="auto"/>
        <w:jc w:val="both"/>
        <w:rPr>
          <w:rFonts w:cs="Times New Roman"/>
          <w:kern w:val="1"/>
          <w:sz w:val="26"/>
          <w:szCs w:val="26"/>
        </w:rPr>
      </w:pPr>
      <w:bookmarkStart w:id="16" w:name="_Toc249184616"/>
      <w:bookmarkStart w:id="17" w:name="_Toc280166131"/>
      <w:bookmarkStart w:id="18" w:name="_Toc280548535"/>
      <w:bookmarkStart w:id="19" w:name="_Toc294180977"/>
      <w:bookmarkStart w:id="20" w:name="_Toc90302982"/>
      <w:bookmarkStart w:id="21" w:name="_Toc231969247"/>
      <w:r>
        <w:rPr>
          <w:rFonts w:cs="Times New Roman"/>
          <w:kern w:val="1"/>
          <w:sz w:val="26"/>
          <w:szCs w:val="26"/>
        </w:rPr>
        <w:t xml:space="preserve">I.2. Мероприятия по </w:t>
      </w:r>
      <w:bookmarkEnd w:id="16"/>
      <w:bookmarkEnd w:id="17"/>
      <w:bookmarkEnd w:id="18"/>
      <w:r>
        <w:rPr>
          <w:rFonts w:cs="Times New Roman"/>
          <w:kern w:val="1"/>
          <w:sz w:val="26"/>
          <w:szCs w:val="26"/>
        </w:rPr>
        <w:t>административно-территориальному устройству территории сельского поселения</w:t>
      </w:r>
      <w:bookmarkEnd w:id="19"/>
      <w:bookmarkEnd w:id="20"/>
    </w:p>
    <w:p>
      <w:pPr>
        <w:spacing w:line="276" w:lineRule="auto"/>
        <w:ind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 по оптимизации административно-территориального устройства сельского поселения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4.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7605"/>
        <w:gridCol w:w="1405"/>
      </w:tblGrid>
      <w:tr>
        <w:trPr>
          <w:tblCellSpacing w:w="0" w:type="dxa"/>
        </w:trPr>
        <w:tc>
          <w:tcPr>
            <w:tcW w:w="255" w:type="pct"/>
            <w:shd w:val="clear" w:color="auto" w:fill="CCCCCC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 xml:space="preserve">№ </w:t>
            </w:r>
            <w:r>
              <w:rPr>
                <w:rFonts w:eastAsia="Times New Roman"/>
                <w:b/>
                <w:bCs/>
                <w:kern w:val="0"/>
              </w:rPr>
              <w:t>п/п</w:t>
            </w:r>
          </w:p>
        </w:tc>
        <w:tc>
          <w:tcPr>
            <w:tcW w:w="4005" w:type="pct"/>
            <w:shd w:val="clear" w:color="auto" w:fill="CCCCCC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Наименование мероприятия</w:t>
            </w:r>
          </w:p>
        </w:tc>
        <w:tc>
          <w:tcPr>
            <w:tcW w:w="740" w:type="pct"/>
            <w:shd w:val="clear" w:color="auto" w:fill="CCCCCC"/>
            <w:hideMark/>
          </w:tcPr>
          <w:p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Этапы</w:t>
            </w:r>
          </w:p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реализации</w:t>
            </w:r>
          </w:p>
        </w:tc>
      </w:tr>
      <w:tr>
        <w:trPr>
          <w:tblCellSpacing w:w="0" w:type="dxa"/>
        </w:trPr>
        <w:tc>
          <w:tcPr>
            <w:tcW w:w="25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00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Проведение комплекса мероприятий по установлению (изменению) границ населенного пункта, в порядке, определенном действующим законодательством.</w:t>
            </w:r>
          </w:p>
        </w:tc>
        <w:tc>
          <w:tcPr>
            <w:tcW w:w="740" w:type="pct"/>
            <w:vAlign w:val="center"/>
            <w:hideMark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1очередь</w:t>
            </w:r>
          </w:p>
          <w:p>
            <w:pPr>
              <w:jc w:val="center"/>
              <w:rPr>
                <w:kern w:val="0"/>
              </w:rPr>
            </w:pPr>
          </w:p>
        </w:tc>
      </w:tr>
      <w:tr>
        <w:trPr>
          <w:tblCellSpacing w:w="0" w:type="dxa"/>
        </w:trPr>
        <w:tc>
          <w:tcPr>
            <w:tcW w:w="25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00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Проведение мероприятий по инструментальному закреплению границ населенного пункта в соответствии с планируемыми границами населенного пункта, отображенными на схемах генерального плана.</w:t>
            </w:r>
          </w:p>
        </w:tc>
        <w:tc>
          <w:tcPr>
            <w:tcW w:w="740" w:type="pct"/>
            <w:vAlign w:val="center"/>
            <w:hideMark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 очередь</w:t>
            </w:r>
          </w:p>
        </w:tc>
      </w:tr>
    </w:tbl>
    <w:p>
      <w:pPr>
        <w:spacing w:line="276" w:lineRule="auto"/>
        <w:ind w:firstLine="720"/>
        <w:jc w:val="center"/>
        <w:rPr>
          <w:b/>
          <w:i/>
        </w:rPr>
      </w:pPr>
    </w:p>
    <w:p>
      <w:pPr>
        <w:spacing w:line="276" w:lineRule="auto"/>
        <w:ind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 по усовершенствованию и развитию планировочной структуры сельского поселения, функциональному и градостроительному зонированию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5.</w:t>
      </w:r>
    </w:p>
    <w:tbl>
      <w:tblPr>
        <w:tblW w:w="9624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738"/>
        <w:gridCol w:w="566"/>
        <w:gridCol w:w="6473"/>
        <w:gridCol w:w="1847"/>
      </w:tblGrid>
      <w:t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пп 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реализации</w:t>
            </w:r>
          </w:p>
        </w:tc>
      </w:tr>
      <w:tr>
        <w:tc>
          <w:tcPr>
            <w:tcW w:w="9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hd w:val="clear" w:color="auto" w:fill="FFFFFF"/>
              <w:tabs>
                <w:tab w:val="left" w:pos="360"/>
                <w:tab w:val="left" w:pos="700"/>
              </w:tabs>
              <w:snapToGrid w:val="0"/>
              <w:jc w:val="center"/>
              <w:rPr>
                <w:rFonts w:cs="Tahoma"/>
                <w:b/>
                <w:bCs/>
                <w:i/>
                <w:iCs/>
                <w:spacing w:val="-10"/>
              </w:rPr>
            </w:pPr>
            <w:r>
              <w:rPr>
                <w:rFonts w:cs="Tahoma"/>
                <w:b/>
                <w:bCs/>
                <w:i/>
                <w:iCs/>
                <w:spacing w:val="-10"/>
              </w:rPr>
              <w:t>Мероприятия по усовершенствованию и развитию планировочной структуры</w:t>
            </w:r>
          </w:p>
        </w:tc>
      </w:tr>
      <w:t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1.</w:t>
            </w:r>
          </w:p>
          <w:p>
            <w:pPr>
              <w:jc w:val="center"/>
            </w:pP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 xml:space="preserve">Максимальное сохранение сложившейся архитектурно-планировочной и объемно-пространственной структуры территории сельского поселения при обеспечении условий улучшения состояния окружающей среды градостроительными средствами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2.</w:t>
            </w:r>
          </w:p>
        </w:tc>
        <w:tc>
          <w:tcPr>
            <w:tcW w:w="7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>Сохранение и развитие системы планировочных связей, обеспечивающей усиление связности территории внутри поселения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3.</w:t>
            </w:r>
          </w:p>
        </w:tc>
        <w:tc>
          <w:tcPr>
            <w:tcW w:w="7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>Сохранение масштабности планировочных элементов сельского поселения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4.</w:t>
            </w:r>
          </w:p>
        </w:tc>
        <w:tc>
          <w:tcPr>
            <w:tcW w:w="7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>Формирование структуры центров общественного значения в соответствии с сложившимся и планируемым транспортно-коммуникационным сельского поселения, градостроительными и природными особенностями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9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hd w:val="clear" w:color="auto" w:fill="FFFFFF"/>
              <w:tabs>
                <w:tab w:val="left" w:pos="360"/>
                <w:tab w:val="left" w:pos="700"/>
              </w:tabs>
              <w:snapToGrid w:val="0"/>
              <w:jc w:val="center"/>
              <w:rPr>
                <w:rFonts w:cs="Tahoma"/>
                <w:b/>
                <w:bCs/>
                <w:i/>
                <w:iCs/>
                <w:spacing w:val="-10"/>
              </w:rPr>
            </w:pPr>
            <w:r>
              <w:rPr>
                <w:rFonts w:cs="Tahoma"/>
                <w:b/>
                <w:bCs/>
                <w:i/>
                <w:iCs/>
                <w:spacing w:val="-10"/>
              </w:rPr>
              <w:t>Мероприятия по функциональному и градостроительному зонированию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4.</w:t>
            </w:r>
          </w:p>
        </w:tc>
        <w:tc>
          <w:tcPr>
            <w:tcW w:w="8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both"/>
            </w:pPr>
            <w:r>
              <w:t>Развитие общественно-деловой зоны: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новых и развитие сложившихся общественных центров в населенных пунктах, включающих: объекты административно-делового, торгового, культурно-развлекательного, коммунально-бытового и иного назначения.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существующих учреждений общественно-делового назначения, имеющих степень износа свыше 50%.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5.</w:t>
            </w:r>
          </w:p>
        </w:tc>
        <w:tc>
          <w:tcPr>
            <w:tcW w:w="8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  <w:r>
              <w:t>Развитие рекреационной зоны: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населенных пунктах развитой системы озелененных пространств с целью организации рекреационного и спортивного обслуживания населения с использованием прибрежных территорий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многофункциональной системы зеленых насаждений.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</w:tbl>
    <w:p>
      <w:pPr>
        <w:spacing w:line="276" w:lineRule="auto"/>
        <w:ind w:firstLine="720"/>
        <w:jc w:val="both"/>
        <w:rPr>
          <w:sz w:val="26"/>
          <w:szCs w:val="26"/>
        </w:rPr>
      </w:pP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Границы и статус Боровского сельского поселения Болховского района установлены Законом Орловской области от 25.12.2013 № 1578-ОЗ «Об административно-территориальном устройстве Орловской области».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Границы населенных пунктов, входящих в состав Боровского сельского поселения Болховского района, в данном проекте подлежат уточнению.</w:t>
      </w:r>
    </w:p>
    <w:p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Баланс земель территории сельского поселения</w:t>
      </w:r>
    </w:p>
    <w:p>
      <w:pPr>
        <w:spacing w:line="276" w:lineRule="auto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Таблица 6. </w:t>
      </w: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5"/>
        <w:gridCol w:w="4741"/>
        <w:gridCol w:w="1417"/>
        <w:gridCol w:w="1578"/>
        <w:gridCol w:w="1439"/>
      </w:tblGrid>
      <w:tr>
        <w:trPr>
          <w:trHeight w:val="820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Современ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ное состояние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>
        <w:trPr>
          <w:trHeight w:val="435"/>
        </w:trPr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20"/>
              <w:suppressAutoHyphens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площадь территории сельского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 w:val="26"/>
                <w:szCs w:val="26"/>
                <w:lang w:eastAsia="ar-SA"/>
              </w:rPr>
              <w:t>6016,8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fd"/>
              <w:suppressAutoHyphens/>
              <w:rPr>
                <w:bCs/>
                <w:i/>
                <w:iCs/>
                <w:color w:val="FF6600"/>
                <w:sz w:val="24"/>
                <w:szCs w:val="24"/>
              </w:rPr>
            </w:pPr>
          </w:p>
        </w:tc>
      </w:tr>
      <w:tr>
        <w:trPr>
          <w:trHeight w:val="189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га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t>4585,43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rPr>
          <w:trHeight w:val="6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деятельности; земли обороны, безопасности и земли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1,77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6600"/>
              </w:rPr>
            </w:pPr>
          </w:p>
        </w:tc>
      </w:tr>
      <w:tr>
        <w:trPr>
          <w:trHeight w:val="317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6600"/>
              </w:rPr>
            </w:pPr>
          </w:p>
        </w:tc>
      </w:tr>
      <w:tr>
        <w:trPr>
          <w:trHeight w:val="231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803,6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6600"/>
              </w:rPr>
            </w:pPr>
          </w:p>
        </w:tc>
      </w:tr>
      <w:tr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водного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запаса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Times New Roman"/>
                <w:bCs/>
                <w:kern w:val="0"/>
                <w:sz w:val="26"/>
                <w:szCs w:val="26"/>
              </w:rPr>
              <w:t>626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Cs/>
                <w:color w:val="FF6600"/>
              </w:rPr>
            </w:pPr>
          </w:p>
        </w:tc>
      </w:tr>
      <w:tr>
        <w:trPr>
          <w:trHeight w:val="3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Асеева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sz w:val="26"/>
                <w:szCs w:val="26"/>
              </w:rPr>
              <w:t>34,8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Боровое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37,2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Булгакова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Войново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7.3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13,1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Воскресенский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35,9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Ивановский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34,3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Казанский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5,5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Козюлькина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Кудинова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7.8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48,3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Лунёво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7.9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55,2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Лучки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59,7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Новоникольский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16,4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Новый Свет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7.12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/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Плоская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101,7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Светлая Заря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Чернь-Пальчиково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Шарихина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ind w:firstLine="709"/>
        <w:jc w:val="both"/>
        <w:rPr>
          <w:sz w:val="26"/>
          <w:szCs w:val="26"/>
        </w:rPr>
      </w:pPr>
    </w:p>
    <w:p>
      <w:pPr>
        <w:spacing w:line="276" w:lineRule="auto"/>
        <w:ind w:firstLine="709"/>
        <w:jc w:val="both"/>
        <w:rPr>
          <w:color w:val="FF6600"/>
          <w:sz w:val="26"/>
          <w:szCs w:val="26"/>
        </w:rPr>
      </w:pPr>
      <w:r>
        <w:rPr>
          <w:sz w:val="26"/>
          <w:szCs w:val="26"/>
        </w:rPr>
        <w:t>Архитектурно - планировочные решения генерального плана Боровского сельского поселения Орловского района основаны на сложившейся планировочной структуре населенных пунктов. Планировочная структура представлена как единый, целостный селитебный комплекс, формируемый на принципах компактности, экономичности и комфортности проживания</w:t>
      </w:r>
    </w:p>
    <w:p>
      <w:pPr>
        <w:spacing w:line="276" w:lineRule="auto"/>
        <w:ind w:firstLine="720"/>
        <w:jc w:val="center"/>
        <w:rPr>
          <w:b/>
          <w:i/>
          <w:sz w:val="26"/>
          <w:szCs w:val="26"/>
        </w:rPr>
        <w:sectPr>
          <w:headerReference w:type="default" r:id="rId12"/>
          <w:pgSz w:w="11906" w:h="16838"/>
          <w:pgMar w:top="899" w:right="850" w:bottom="899" w:left="1701" w:header="708" w:footer="708" w:gutter="0"/>
          <w:cols w:space="708"/>
          <w:titlePg/>
          <w:docGrid w:linePitch="360"/>
        </w:sectPr>
      </w:pPr>
    </w:p>
    <w:p>
      <w:pPr>
        <w:pStyle w:val="1"/>
        <w:spacing w:line="276" w:lineRule="auto"/>
        <w:ind w:left="0" w:firstLine="709"/>
        <w:jc w:val="both"/>
        <w:rPr>
          <w:b/>
          <w:i w:val="0"/>
          <w:sz w:val="26"/>
          <w:szCs w:val="26"/>
        </w:rPr>
      </w:pPr>
      <w:bookmarkStart w:id="22" w:name="_Toc53668034"/>
      <w:bookmarkStart w:id="23" w:name="_Toc90302984"/>
      <w:bookmarkStart w:id="24" w:name="_Toc207435343"/>
      <w:bookmarkStart w:id="25" w:name="_Toc253124704"/>
      <w:r>
        <w:rPr>
          <w:b/>
          <w:i w:val="0"/>
          <w:sz w:val="26"/>
          <w:szCs w:val="26"/>
        </w:rPr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22"/>
      <w:bookmarkEnd w:id="23"/>
    </w:p>
    <w:p>
      <w:pPr>
        <w:pStyle w:val="30"/>
        <w:spacing w:line="276" w:lineRule="auto"/>
        <w:jc w:val="both"/>
        <w:rPr>
          <w:rFonts w:cs="Times New Roman"/>
          <w:kern w:val="1"/>
          <w:sz w:val="26"/>
          <w:szCs w:val="26"/>
        </w:rPr>
      </w:pPr>
      <w:bookmarkStart w:id="26" w:name="_Toc90302985"/>
      <w:bookmarkStart w:id="27" w:name="_Toc51858667"/>
      <w:r>
        <w:rPr>
          <w:rFonts w:cs="Times New Roman"/>
          <w:kern w:val="1"/>
          <w:sz w:val="26"/>
          <w:szCs w:val="26"/>
        </w:rPr>
        <w:t>II.1 Параметры функциональных зон</w:t>
      </w:r>
      <w:bookmarkEnd w:id="26"/>
      <w:r>
        <w:rPr>
          <w:rFonts w:cs="Times New Roman"/>
          <w:kern w:val="1"/>
          <w:sz w:val="26"/>
          <w:szCs w:val="26"/>
        </w:rPr>
        <w:t xml:space="preserve"> </w:t>
      </w:r>
      <w:bookmarkEnd w:id="27"/>
      <w:r>
        <w:rPr>
          <w:rFonts w:cs="Times New Roman"/>
          <w:kern w:val="1"/>
          <w:sz w:val="26"/>
          <w:szCs w:val="26"/>
        </w:rPr>
        <w:t xml:space="preserve"> 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Зонирование территории Боровского сельского поселения осуществляется для регулирования использования и застройки территории применительно к каждому земельному участку и объектам недвижимости, расположенным в этих зонах, а также для создания комфортной и безопасной среды проживания жителей, для сохранения историко-культурного наследия и охраны окружающей среды.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Определенные в Генеральном плане зоны различного функционального назначения являются основой для разработки правил землепользования и застройки, устанавливающих градостроительные регламенты для каждой из территориальных зон.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карте функциональных зон с учетом ограничений на ее использование показаны зоны различного функционального назначения и их границы. Границы зон определены с учетом границ населенных пунктов, естественных границ природных объектов, границ земельных участков.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Территории общего пользования, занятые площадями, улицами, проездами, дорогами, скверами, водоемами и другими объектами, входят в состав различных функциональных зон и отдельно не выделяются.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карте функциональных зон Боровского сельского поселения выделены следующие зоны: 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жилые зоны;</w:t>
      </w:r>
    </w:p>
    <w:p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производственные зоны, зоны инженерной и транспортной инфраструктур;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рекреационного назначения;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сельскохозяйственного использования;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специального назначения;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зона лесов.</w:t>
      </w:r>
    </w:p>
    <w:p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Жилая зона </w:t>
      </w:r>
      <w:r>
        <w:rPr>
          <w:sz w:val="26"/>
          <w:szCs w:val="26"/>
        </w:rPr>
        <w:t>предназначена для застройки жилыми домами,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среду, а также территорий, предназначенных для ведения садоводства.</w:t>
      </w:r>
    </w:p>
    <w:p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Производственная зона, зоны инженерной и транспортной инфраструктур </w:t>
      </w:r>
      <w:r>
        <w:rPr>
          <w:color w:val="000000" w:themeColor="text1"/>
          <w:sz w:val="26"/>
          <w:szCs w:val="26"/>
        </w:rPr>
        <w:t>предназначена для размещения промышленных, производственных объектов с различными нормативами воздействия на окружающую среду, коммунальных и складских объектов, объектов жилищно-коммунального хозяйства, объектов оптовой торговли, объектов инженерной и транспортной инфраструктур, в том числе сооружений и коммуникаций железнодорожного, автомобильного, речного,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28" w:name="_Hlk84842737"/>
      <w:r>
        <w:rPr>
          <w:b/>
          <w:bCs/>
          <w:color w:val="000000" w:themeColor="text1"/>
          <w:sz w:val="26"/>
          <w:szCs w:val="26"/>
        </w:rPr>
        <w:t>Зона сельскохозяйственного использования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предназначена </w:t>
      </w:r>
      <w:r>
        <w:rPr>
          <w:bCs/>
          <w:sz w:val="26"/>
          <w:szCs w:val="26"/>
        </w:rPr>
        <w:t xml:space="preserve">для территорий, занятых сельскохозяйственными угодьями (пашни, сенокосы, пастбища, залежи, земли, занятые многолетними насаждениями (садами, виноградниками и другими); </w:t>
      </w:r>
      <w:r>
        <w:rPr>
          <w:rFonts w:eastAsia="SimSun"/>
          <w:sz w:val="26"/>
          <w:szCs w:val="26"/>
        </w:rPr>
        <w:t xml:space="preserve">земель, занятых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продукции; территорий, </w:t>
      </w:r>
      <w:r>
        <w:rPr>
          <w:sz w:val="26"/>
          <w:szCs w:val="26"/>
        </w:rPr>
        <w:t>занятых объектами сельскохозяйственного назначения и предназначенные для ведения сельского хозяйства, садоводства и огородничества, личного подсобного хозяйства, развития объектов сельскохозяйственного назначения.</w:t>
      </w:r>
    </w:p>
    <w:p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Зона рекреационного назначения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</w:t>
      </w:r>
      <w:r>
        <w:rPr>
          <w:sz w:val="26"/>
          <w:szCs w:val="26"/>
        </w:rPr>
        <w:t>редназначена для размещения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bookmarkEnd w:id="28"/>
    <w:p>
      <w:pPr>
        <w:spacing w:line="276" w:lineRule="auto"/>
        <w:ind w:firstLine="709"/>
        <w:jc w:val="both"/>
        <w:rPr>
          <w:rFonts w:eastAsia="Times New Roman"/>
          <w:bCs/>
          <w:color w:val="000000" w:themeColor="text1"/>
          <w:sz w:val="26"/>
          <w:szCs w:val="26"/>
          <w:lang w:eastAsia="zh-CN"/>
        </w:rPr>
      </w:pPr>
      <w:r>
        <w:rPr>
          <w:b/>
          <w:color w:val="000000" w:themeColor="text1"/>
          <w:sz w:val="26"/>
          <w:szCs w:val="26"/>
        </w:rPr>
        <w:t>Зона лесов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z w:val="26"/>
          <w:szCs w:val="26"/>
          <w:lang w:eastAsia="zh-CN"/>
        </w:rPr>
        <w:t>предназначена для размещения земель лесного фонда. Использование земельных участков в составе земель лесного фонда определяется лесохозяйственным регламентом лесничеств, утвержденным органом государственной власти субъекта Российской Федерации, за исключением случаев, предусмотренных частью 3 статьи 87 Лесного кодекса Российской Федерации.</w:t>
      </w:r>
    </w:p>
    <w:p>
      <w:pPr>
        <w:pStyle w:val="ff7428cfd97dac0e8f4506aa708e2a26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SimSun"/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Зона специального назначения</w:t>
      </w:r>
      <w:r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eastAsia="zh-CN"/>
        </w:rPr>
        <w:t>предназначена для размещения кладбищ, крематориев, скотомогильников, объектов, используемых для захоронения твердых коммунальных отходов, военных объектов, объектов, размещение которых может быть обеспечено только путем выделения указанной зоны и недопустимо в других функциональных зонах.</w:t>
      </w:r>
    </w:p>
    <w:p>
      <w:pPr>
        <w:pStyle w:val="30"/>
        <w:spacing w:line="276" w:lineRule="auto"/>
        <w:jc w:val="center"/>
        <w:rPr>
          <w:i/>
          <w:sz w:val="26"/>
          <w:szCs w:val="26"/>
        </w:rPr>
      </w:pPr>
      <w:bookmarkStart w:id="29" w:name="_Toc90302986"/>
      <w:r>
        <w:rPr>
          <w:rFonts w:cs="Times New Roman"/>
          <w:i/>
          <w:kern w:val="1"/>
          <w:sz w:val="26"/>
          <w:szCs w:val="26"/>
        </w:rPr>
        <w:t>Параметры функциональных зон населенных пунктов сельского поселения</w:t>
      </w:r>
      <w:bookmarkEnd w:id="29"/>
    </w:p>
    <w:bookmarkEnd w:id="24"/>
    <w:bookmarkEnd w:id="25"/>
    <w:p>
      <w:pPr>
        <w:spacing w:line="276" w:lineRule="auto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Таблица 5.</w:t>
      </w:r>
    </w:p>
    <w:tbl>
      <w:tblPr>
        <w:tblW w:w="9558" w:type="dxa"/>
        <w:jc w:val="center"/>
        <w:tblLook w:val="0000" w:firstRow="0" w:lastRow="0" w:firstColumn="0" w:lastColumn="0" w:noHBand="0" w:noVBand="0"/>
      </w:tblPr>
      <w:tblGrid>
        <w:gridCol w:w="4977"/>
        <w:gridCol w:w="2043"/>
        <w:gridCol w:w="2538"/>
      </w:tblGrid>
      <w:tr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зоны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Зонирование территории н.п.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</w:tr>
      <w:tr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</w:rPr>
              <w:t>Существующее положение</w:t>
            </w: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t>всего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564,658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69,56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423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0,36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57,71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5,04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803,6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6016,8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д. Асеева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65,8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6,4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</w:pPr>
            <w:r>
              <w:t>0,7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с. Боровое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26,35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10,2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0,65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д. Булгакова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4,118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0,58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с. Войново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13,1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Воскресенский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35,9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п. Ивановский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27,45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6,65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Казанский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5,5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Козюлькина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78,9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18,9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Кудинова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37,82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10,48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48,3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с. Лунёво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49,92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4,18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1,1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Лучки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52,6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7,1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59,7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Новоникольский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16,4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Новый Свет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Плоская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91,4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9,9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Светлая Заря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с. Чернь-Пальчиково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13,2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1,82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0,36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0,22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Шарихина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</w:tbl>
    <w:p>
      <w:pPr>
        <w:pStyle w:val="30"/>
        <w:ind w:firstLine="0"/>
        <w:jc w:val="both"/>
        <w:rPr>
          <w:rFonts w:cs="Times New Roman"/>
          <w:kern w:val="1"/>
          <w:sz w:val="26"/>
          <w:szCs w:val="26"/>
        </w:rPr>
      </w:pPr>
      <w:bookmarkStart w:id="30" w:name="_Toc53668035"/>
    </w:p>
    <w:p>
      <w:pPr>
        <w:pStyle w:val="30"/>
        <w:ind w:firstLine="0"/>
        <w:jc w:val="both"/>
        <w:rPr>
          <w:rFonts w:cs="Times New Roman"/>
          <w:kern w:val="1"/>
          <w:sz w:val="26"/>
          <w:szCs w:val="26"/>
        </w:rPr>
      </w:pPr>
    </w:p>
    <w:p>
      <w:pPr>
        <w:pStyle w:val="30"/>
        <w:ind w:firstLine="0"/>
        <w:jc w:val="both"/>
        <w:rPr>
          <w:rFonts w:cs="Times New Roman"/>
          <w:kern w:val="1"/>
          <w:sz w:val="26"/>
          <w:szCs w:val="26"/>
        </w:rPr>
      </w:pPr>
      <w:bookmarkStart w:id="31" w:name="_Toc90302987"/>
      <w:r>
        <w:rPr>
          <w:rFonts w:cs="Times New Roman"/>
          <w:kern w:val="1"/>
          <w:sz w:val="26"/>
          <w:szCs w:val="26"/>
        </w:rPr>
        <w:t>II.2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30"/>
      <w:bookmarkEnd w:id="31"/>
      <w:r>
        <w:rPr>
          <w:rFonts w:cs="Times New Roman"/>
          <w:kern w:val="1"/>
          <w:sz w:val="26"/>
          <w:szCs w:val="26"/>
        </w:rPr>
        <w:t xml:space="preserve"> </w:t>
      </w:r>
    </w:p>
    <w:p/>
    <w:p>
      <w:pPr>
        <w:pStyle w:val="aff9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Для достижения целей, определенных генеральным планом Боровского сельского поселения, необходимо проведение следующих мероприятий:</w:t>
      </w:r>
    </w:p>
    <w:p>
      <w:pPr>
        <w:pStyle w:val="aff9"/>
        <w:spacing w:line="240" w:lineRule="auto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28</w:t>
      </w:r>
    </w:p>
    <w:p>
      <w:pPr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19"/>
        <w:gridCol w:w="1984"/>
        <w:gridCol w:w="1950"/>
      </w:tblGrid>
      <w:tr>
        <w:trPr>
          <w:cantSplit/>
        </w:trPr>
        <w:tc>
          <w:tcPr>
            <w:tcW w:w="817" w:type="dxa"/>
            <w:vMerge w:val="restart"/>
            <w:shd w:val="clear" w:color="auto" w:fill="D9D9D9"/>
            <w:vAlign w:val="center"/>
          </w:tcPr>
          <w:bookmarkEnd w:id="21"/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93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>
        <w:trPr>
          <w:cantSplit/>
        </w:trPr>
        <w:tc>
          <w:tcPr>
            <w:tcW w:w="817" w:type="dxa"/>
            <w:vMerge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Первая очередь</w:t>
            </w:r>
          </w:p>
        </w:tc>
        <w:tc>
          <w:tcPr>
            <w:tcW w:w="1950" w:type="dxa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>
        <w:tc>
          <w:tcPr>
            <w:tcW w:w="957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bCs/>
              </w:rPr>
              <w:t>Строительство школы в д. Козюлькино вместимостью 100 мест.</w:t>
            </w:r>
          </w:p>
        </w:tc>
        <w:tc>
          <w:tcPr>
            <w:tcW w:w="1984" w:type="dxa"/>
          </w:tcPr>
          <w:p>
            <w:pPr>
              <w:pStyle w:val="af0"/>
              <w:snapToGrid w:val="0"/>
              <w:jc w:val="center"/>
            </w:pPr>
            <w: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Организация подвозки школьными автобусами учеников из отдаленных сел.</w:t>
            </w:r>
          </w:p>
        </w:tc>
        <w:tc>
          <w:tcPr>
            <w:tcW w:w="1984" w:type="dxa"/>
          </w:tcPr>
          <w:p>
            <w:pPr>
              <w:pStyle w:val="af0"/>
              <w:snapToGrid w:val="0"/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Оснащение медицинских учреждений нормативным медицинским инструментом и оборудованием.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4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bCs/>
              </w:rPr>
              <w:t>Ремонт и инженерное оборудование существующих медицинских учреждений.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5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Обеспечение специальным транспортом учреждений здравоохранения.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6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физкультурно – оздоровительного комплекса в д. Козюлькина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7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плоскостных спортивных сооружений общей площадью 240 кв.м.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8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Реконструкция библиотеки в д. Козюлькина.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9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Реконструкция сельского дома культуры д. Козюлькина.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957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Жилищная сфера</w:t>
            </w:r>
          </w:p>
        </w:tc>
      </w:tr>
      <w:tr>
        <w:tc>
          <w:tcPr>
            <w:tcW w:w="817" w:type="dxa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      </w:r>
          </w:p>
        </w:tc>
        <w:tc>
          <w:tcPr>
            <w:tcW w:w="1984" w:type="dxa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>
            <w:pPr>
              <w:snapToGrid w:val="0"/>
              <w:ind w:firstLine="19"/>
              <w:jc w:val="both"/>
            </w:pPr>
            <w:r>
      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      </w:r>
          </w:p>
        </w:tc>
        <w:tc>
          <w:tcPr>
            <w:tcW w:w="1984" w:type="dxa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архитектурно-пространственной среды жилых зон.</w:t>
            </w:r>
          </w:p>
        </w:tc>
        <w:tc>
          <w:tcPr>
            <w:tcW w:w="1984" w:type="dxa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Транспортная сфера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pStyle w:val="af0"/>
              <w:snapToGrid w:val="0"/>
              <w:jc w:val="both"/>
            </w:pPr>
            <w:r>
              <w:t>Капитальный ремонт и реконструкция существующей сети региональных дорог и дорожных искусственных сооружений.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Строительство обходов населенных пунктов.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Сооружение мостовых переходов по направлению новых автомобильных дорог.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 xml:space="preserve">Строительство дорог в районе нового строительства. 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Увеличение транспортной доступности и связанности сельских населенных пунктов между собой через сеть автомобильных дорог.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придорожного сервиса.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механизированной уборки улиц в зимний период.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Объекты  массового отдыха, благоустройства и озеленения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t>Благоустройство и устройство внутриквартальных зон отдыха и детских игровых площадок на территории населенных пунктов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t>Благоустройство участков, прилегающих к общественным зданиям, существующим участкам рекреационного озеленения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pStyle w:val="af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t>Устройство пешеходных тротуаров по улицам населенных пунктов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</w:pPr>
            <w:r>
              <w:rPr>
                <w:b/>
              </w:rPr>
              <w:t xml:space="preserve">Объекты культурного наследия </w:t>
            </w:r>
          </w:p>
        </w:tc>
      </w:tr>
      <w:tr>
        <w:tc>
          <w:tcPr>
            <w:tcW w:w="817" w:type="dxa"/>
          </w:tcPr>
          <w:p>
            <w:r>
              <w:t>1.</w:t>
            </w:r>
          </w:p>
          <w:p/>
        </w:tc>
        <w:tc>
          <w:tcPr>
            <w:tcW w:w="4819" w:type="dxa"/>
          </w:tcPr>
          <w:p>
            <w:pPr>
              <w:jc w:val="both"/>
            </w:pPr>
            <w:r>
              <w:t>Пополнение списка объектов культурного наследия Боровского поселения в соответствии со спецификой исторических событий, происходивших на территории поселения.</w:t>
            </w:r>
          </w:p>
        </w:tc>
        <w:tc>
          <w:tcPr>
            <w:tcW w:w="1984" w:type="dxa"/>
            <w:vAlign w:val="center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bookmarkStart w:id="32" w:name="_GoBack" w:colFirst="2" w:colLast="2"/>
            <w:r>
              <w:t>2.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3</w:t>
            </w:r>
            <w:r>
              <w:t>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Составление списков объектов нематериального и устного наследия, потенциальных для взятия под охрану и обеспечение их сохранения.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4</w:t>
            </w:r>
            <w:r>
              <w:t>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5</w:t>
            </w:r>
            <w:r>
              <w:t>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6</w:t>
            </w:r>
            <w:r>
              <w:t>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7</w:t>
            </w:r>
            <w:r>
              <w:t>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 xml:space="preserve">Разработка для всех населенных пунктов проектов зон охраны объектов культурного наследия. 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8</w:t>
            </w:r>
            <w:r>
              <w:t>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      </w:r>
          </w:p>
          <w:p/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bookmarkEnd w:id="32"/>
      <w:tr>
        <w:tc>
          <w:tcPr>
            <w:tcW w:w="817" w:type="dxa"/>
          </w:tcPr>
          <w:p>
            <w:r>
              <w:t>9.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Пополнение списка объектов культурного наследия Боровского поселения в соответствии со спецификой исторических событий, происходивших на территории поселения.</w:t>
            </w:r>
          </w:p>
        </w:tc>
        <w:tc>
          <w:tcPr>
            <w:tcW w:w="1984" w:type="dxa"/>
            <w:vAlign w:val="center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Произведение расчетов проектов СЗЗ предприятий и введение СЗЗ в действие, вид деятельности и класс опасности предприятий должны соответствовать заявленным требованиям.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Организация выбросов загрязняющих веществ в атмосферу и оснащение источников выбросов газопылеулавливающими установками, своевременная паспортизация вентиляционных устройств и газопылеочистных установок с оценкой их эффективности.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Осуществление перевода автотранспорта на газовое топливо, с применением каталитических фильтров.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 xml:space="preserve">Строительство современных очистных сооружений; строительство централизованной системы водоотведения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Обеспечение сбора и очистки поверхностных стоков с территории жилой и промышленной застройки в населенных пунктах, в первую очередь на предприятиях по переработке сельскохозяйственной продукции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Ликвидация непригодных к дальнейшей эксплуатации скважин, наличие зон санитарной охраны на действующих водозаборах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 xml:space="preserve">Проведение систем учета и контроля над потреблением питьевой воды;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Изучение качества подземных вод и гидродинамического режима на водозаборах и в зонах их влияния;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 xml:space="preserve">Обеспечение качества питьевой воды, подаваемой населению, путем внедрения средств очистки.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Создание вдоль автомобильных дорог лесных полезащитных полос;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эффективность, вносимых удобрений;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Принятие мер по сохранению плодородия почв, посредством защиты их от эрозии, на основе агрофитомелиоративных приемов и биоинженерных сооружений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Утилизация транспортных отходов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Утилизация производственных отходов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Разработка генеральной схемы санитарной очистки на территории поселения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Внедрение комплексной механизации санитарной очистки поселения;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Организация селективного сбора отходов в жилых образованиях в сменные контейнеры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Заключение договоров на сдачу вторичного сырья на дальнейшую переработку за пределами населенного пункта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>
            <w:r>
              <w:t>Максимальное сохранение участков защитных лесных насаждений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</w:tbl>
    <w:p>
      <w:pPr>
        <w:spacing w:line="276" w:lineRule="auto"/>
        <w:ind w:firstLine="720"/>
        <w:jc w:val="both"/>
        <w:rPr>
          <w:sz w:val="26"/>
          <w:szCs w:val="26"/>
        </w:rPr>
      </w:pPr>
    </w:p>
    <w:sectPr>
      <w:footerReference w:type="even" r:id="rId13"/>
      <w:footerReference w:type="default" r:id="rId14"/>
      <w:footnotePr>
        <w:pos w:val="beneathText"/>
      </w:footnotePr>
      <w:pgSz w:w="11905" w:h="16837"/>
      <w:pgMar w:top="1134" w:right="565" w:bottom="1134" w:left="1701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  <w:jc w:val="right"/>
    </w:pPr>
  </w:p>
  <w:p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07536"/>
      <w:docPartObj>
        <w:docPartGallery w:val="Page Numbers (Bottom of Page)"/>
        <w:docPartUnique/>
      </w:docPartObj>
    </w:sdtPr>
    <w:sdtContent>
      <w:p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23</w:t>
    </w:r>
    <w:r>
      <w:rPr>
        <w:rStyle w:val="af9"/>
      </w:rPr>
      <w:fldChar w:fldCharType="end"/>
    </w:r>
  </w:p>
  <w:p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3"/>
      <w:ind w:right="360"/>
    </w:pPr>
    <w:r>
      <w:rPr>
        <w:noProof/>
      </w:rPr>
      <w:pict>
        <v:rect id="Прямоугольник 181" o:spid="_x0000_s2049" style="position:absolute;margin-left:-25.1pt;margin-top:-10.3pt;width:515.8pt;height:79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838367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3A08B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4240BAD"/>
    <w:multiLevelType w:val="singleLevel"/>
    <w:tmpl w:val="4ABC7980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42E7870"/>
    <w:multiLevelType w:val="hybridMultilevel"/>
    <w:tmpl w:val="5F06BD5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08C10BAB"/>
    <w:multiLevelType w:val="hybridMultilevel"/>
    <w:tmpl w:val="F86E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8788C"/>
    <w:multiLevelType w:val="hybridMultilevel"/>
    <w:tmpl w:val="D29EB046"/>
    <w:name w:val="WW8Num92"/>
    <w:lvl w:ilvl="0" w:tplc="48AEB876">
      <w:start w:val="1"/>
      <w:numFmt w:val="decimal"/>
      <w:lvlText w:val="%1."/>
      <w:lvlJc w:val="left"/>
      <w:pPr>
        <w:tabs>
          <w:tab w:val="num" w:pos="1535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0B3D3D"/>
    <w:multiLevelType w:val="hybridMultilevel"/>
    <w:tmpl w:val="38EACBF8"/>
    <w:name w:val="WW8Num93"/>
    <w:lvl w:ilvl="0" w:tplc="36DADC1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E3440D"/>
    <w:multiLevelType w:val="hybridMultilevel"/>
    <w:tmpl w:val="77963FFC"/>
    <w:lvl w:ilvl="0" w:tplc="101C5EEC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AC66E8"/>
    <w:multiLevelType w:val="hybridMultilevel"/>
    <w:tmpl w:val="2D5C9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AF731FF"/>
    <w:multiLevelType w:val="hybridMultilevel"/>
    <w:tmpl w:val="FBD00EB2"/>
    <w:lvl w:ilvl="0" w:tplc="933C049E">
      <w:start w:val="1"/>
      <w:numFmt w:val="decimal"/>
      <w:lvlText w:val="%1."/>
      <w:lvlJc w:val="left"/>
      <w:pPr>
        <w:tabs>
          <w:tab w:val="num" w:pos="3284"/>
        </w:tabs>
        <w:ind w:left="2139" w:hanging="20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882D4A"/>
    <w:multiLevelType w:val="hybridMultilevel"/>
    <w:tmpl w:val="764CB0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8C71C6B"/>
    <w:multiLevelType w:val="hybridMultilevel"/>
    <w:tmpl w:val="D97E34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3218057F"/>
    <w:multiLevelType w:val="hybridMultilevel"/>
    <w:tmpl w:val="F86E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C5D9D"/>
    <w:multiLevelType w:val="hybridMultilevel"/>
    <w:tmpl w:val="4D08B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075AB9"/>
    <w:multiLevelType w:val="hybridMultilevel"/>
    <w:tmpl w:val="6DA85F00"/>
    <w:lvl w:ilvl="0" w:tplc="6D52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B9A5130"/>
    <w:multiLevelType w:val="hybridMultilevel"/>
    <w:tmpl w:val="E672240E"/>
    <w:lvl w:ilvl="0" w:tplc="0419000F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34" w15:restartNumberingAfterBreak="0">
    <w:nsid w:val="412603A9"/>
    <w:multiLevelType w:val="hybridMultilevel"/>
    <w:tmpl w:val="AB963F54"/>
    <w:lvl w:ilvl="0" w:tplc="FEA49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D459E"/>
    <w:multiLevelType w:val="singleLevel"/>
    <w:tmpl w:val="0DF00EE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076026"/>
    <w:multiLevelType w:val="hybridMultilevel"/>
    <w:tmpl w:val="DEE0C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B63A0"/>
    <w:multiLevelType w:val="hybridMultilevel"/>
    <w:tmpl w:val="9F5AECA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5F114819"/>
    <w:multiLevelType w:val="hybridMultilevel"/>
    <w:tmpl w:val="666A6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32DB8"/>
    <w:multiLevelType w:val="multilevel"/>
    <w:tmpl w:val="85EAE5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66773D69"/>
    <w:multiLevelType w:val="hybridMultilevel"/>
    <w:tmpl w:val="5DBA149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7F45B99"/>
    <w:multiLevelType w:val="hybridMultilevel"/>
    <w:tmpl w:val="43EE7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450C3"/>
    <w:multiLevelType w:val="hybridMultilevel"/>
    <w:tmpl w:val="F6DC14B8"/>
    <w:lvl w:ilvl="0" w:tplc="C09CA7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7C93570F"/>
    <w:multiLevelType w:val="multilevel"/>
    <w:tmpl w:val="72C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CDB39A9"/>
    <w:multiLevelType w:val="hybridMultilevel"/>
    <w:tmpl w:val="A698B1B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28"/>
  </w:num>
  <w:num w:numId="6">
    <w:abstractNumId w:val="33"/>
  </w:num>
  <w:num w:numId="7">
    <w:abstractNumId w:val="38"/>
  </w:num>
  <w:num w:numId="8">
    <w:abstractNumId w:val="36"/>
  </w:num>
  <w:num w:numId="9">
    <w:abstractNumId w:val="29"/>
  </w:num>
  <w:num w:numId="10">
    <w:abstractNumId w:val="31"/>
  </w:num>
  <w:num w:numId="11">
    <w:abstractNumId w:val="34"/>
  </w:num>
  <w:num w:numId="12">
    <w:abstractNumId w:val="26"/>
  </w:num>
  <w:num w:numId="13">
    <w:abstractNumId w:val="43"/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5"/>
  </w:num>
  <w:num w:numId="18">
    <w:abstractNumId w:val="27"/>
  </w:num>
  <w:num w:numId="19">
    <w:abstractNumId w:val="24"/>
  </w:num>
  <w:num w:numId="20">
    <w:abstractNumId w:val="44"/>
  </w:num>
  <w:num w:numId="21">
    <w:abstractNumId w:val="1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•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•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0"/>
  </w:num>
  <w:num w:numId="29">
    <w:abstractNumId w:val="32"/>
  </w:num>
  <w:num w:numId="30">
    <w:abstractNumId w:val="41"/>
  </w:num>
  <w:num w:numId="31">
    <w:abstractNumId w:val="3"/>
  </w:num>
  <w:num w:numId="32">
    <w:abstractNumId w:val="45"/>
  </w:num>
  <w:num w:numId="33">
    <w:abstractNumId w:val="37"/>
  </w:num>
  <w:num w:numId="34">
    <w:abstractNumId w:val="21"/>
  </w:num>
  <w:num w:numId="35">
    <w:abstractNumId w:val="40"/>
  </w:num>
  <w:num w:numId="36">
    <w:abstractNumId w:val="42"/>
  </w:num>
  <w:num w:numId="37">
    <w:abstractNumId w:val="30"/>
  </w:num>
  <w:num w:numId="38">
    <w:abstractNumId w:val="25"/>
  </w:num>
  <w:num w:numId="39">
    <w:abstractNumId w:val="23"/>
  </w:num>
  <w:num w:numId="4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DC98EA-EB23-4A45-88EC-4EC2AF7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pPr>
      <w:keepNext/>
      <w:tabs>
        <w:tab w:val="num" w:pos="0"/>
      </w:tabs>
      <w:ind w:firstLine="709"/>
      <w:outlineLvl w:val="2"/>
    </w:pPr>
    <w:rPr>
      <w:rFonts w:cs="Arial"/>
      <w:b/>
      <w:bCs/>
      <w:kern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b/>
      <w:color w:val="00800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8"/>
      <w:szCs w:val="28"/>
    </w:rPr>
  </w:style>
  <w:style w:type="paragraph" w:styleId="8">
    <w:name w:val="heading 8"/>
    <w:basedOn w:val="10"/>
    <w:next w:val="a0"/>
    <w:qFormat/>
    <w:pPr>
      <w:tabs>
        <w:tab w:val="num" w:pos="0"/>
      </w:tabs>
      <w:outlineLvl w:val="7"/>
    </w:pPr>
    <w:rPr>
      <w:bCs/>
      <w:sz w:val="21"/>
      <w:szCs w:val="21"/>
    </w:rPr>
  </w:style>
  <w:style w:type="paragraph" w:styleId="9">
    <w:name w:val="heading 9"/>
    <w:basedOn w:val="10"/>
    <w:next w:val="a0"/>
    <w:qFormat/>
    <w:pPr>
      <w:tabs>
        <w:tab w:val="num" w:pos="0"/>
      </w:tabs>
      <w:outlineLvl w:val="8"/>
    </w:pPr>
    <w:rPr>
      <w:b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 w:line="360" w:lineRule="auto"/>
    </w:pPr>
    <w:rPr>
      <w:rFonts w:cs="Tahoma"/>
      <w:b/>
      <w:sz w:val="28"/>
      <w:szCs w:val="28"/>
    </w:rPr>
  </w:style>
  <w:style w:type="paragraph" w:styleId="a0">
    <w:name w:val="Body Text"/>
    <w:aliases w:val=" Знак1 Знак, Знак Знак Знак"/>
    <w:basedOn w:val="a"/>
    <w:link w:val="a4"/>
    <w:pPr>
      <w:spacing w:after="120"/>
    </w:p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ahoma" w:hAnsi="Tahoma" w:cs="StarSymbol"/>
      <w:sz w:val="18"/>
      <w:szCs w:val="18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9z1">
    <w:name w:val="WW8Num9z1"/>
    <w:rPr>
      <w:rFonts w:ascii="Wingdings 2" w:hAnsi="Wingdings 2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Pr>
      <w:rFonts w:ascii="Wingdings" w:hAnsi="Wingdings" w:cs="Times New Roman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Courier New"/>
    </w:rPr>
  </w:style>
  <w:style w:type="character" w:customStyle="1" w:styleId="WW8Num10z2">
    <w:name w:val="WW8Num10z2"/>
    <w:rPr>
      <w:rFonts w:ascii="StarSymbol" w:hAnsi="StarSymbol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1z0">
    <w:name w:val="WW8Num11z0"/>
    <w:rPr>
      <w:rFonts w:ascii="Tahoma" w:hAnsi="Tahoma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Pr>
      <w:rFonts w:ascii="Wingdings" w:hAnsi="Wingdings" w:cs="StarSymbol"/>
      <w:sz w:val="18"/>
      <w:szCs w:val="18"/>
    </w:rPr>
  </w:style>
  <w:style w:type="character" w:customStyle="1" w:styleId="WW8Num10z3">
    <w:name w:val="WW8Num10z3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Pr>
      <w:rFonts w:ascii="Wingdings" w:hAnsi="Wingdings"/>
    </w:rPr>
  </w:style>
  <w:style w:type="character" w:customStyle="1" w:styleId="WW8Num16z3">
    <w:name w:val="WW8Num16z3"/>
    <w:rPr>
      <w:rFonts w:ascii="Wingdings" w:hAnsi="Wingdings" w:cs="StarSymbol"/>
      <w:color w:val="auto"/>
      <w:kern w:val="1"/>
      <w:sz w:val="18"/>
      <w:szCs w:val="18"/>
      <w:lang w:val="ru-RU" w:eastAsia="ar-SA" w:bidi="ar-SA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Times New Roman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19z3">
    <w:name w:val="WW8Num19z3"/>
    <w:rPr>
      <w:rFonts w:ascii="Wingdings" w:hAnsi="Wingdings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Courier New"/>
    </w:rPr>
  </w:style>
  <w:style w:type="character" w:customStyle="1" w:styleId="WW8Num12z2">
    <w:name w:val="WW8Num12z2"/>
    <w:rPr>
      <w:rFonts w:ascii="StarSymbol" w:hAnsi="StarSymbol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Wingdings" w:eastAsia="Times New Roman" w:hAnsi="Wingdings" w:cs="StarSymbol"/>
      <w:color w:val="auto"/>
      <w:kern w:val="1"/>
      <w:sz w:val="18"/>
      <w:szCs w:val="18"/>
      <w:lang w:val="ru-RU" w:eastAsia="ar-SA" w:bidi="ar-SA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Tahoma" w:hAnsi="Tahoma" w:cs="StarSymbol"/>
      <w:sz w:val="18"/>
      <w:szCs w:val="18"/>
    </w:rPr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Wingdings" w:hAnsi="Wingdings" w:cs="Times New Roman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6z2">
    <w:name w:val="WW8Num26z2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Symbol" w:hAnsi="Symbol" w:cs="StarSymbol"/>
      <w:sz w:val="18"/>
      <w:szCs w:val="18"/>
    </w:rPr>
  </w:style>
  <w:style w:type="character" w:customStyle="1" w:styleId="WW8Num27z2">
    <w:name w:val="WW8Num27z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Courier New"/>
    </w:rPr>
  </w:style>
  <w:style w:type="character" w:customStyle="1" w:styleId="WW8Num11z2">
    <w:name w:val="WW8Num11z2"/>
    <w:rPr>
      <w:rFonts w:ascii="StarSymbol" w:hAnsi="StarSymbol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1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WW8Num22z3">
    <w:name w:val="WW8Num22z3"/>
    <w:rPr>
      <w:rFonts w:ascii="Wingdings" w:hAnsi="Wingdings" w:cs="StarSymbol"/>
      <w:sz w:val="18"/>
      <w:szCs w:val="18"/>
    </w:rPr>
  </w:style>
  <w:style w:type="character" w:customStyle="1" w:styleId="text1">
    <w:name w:val="text1"/>
    <w:rPr>
      <w:rFonts w:ascii="Arial" w:hAnsi="Arial" w:cs="Arial"/>
      <w:color w:val="000000"/>
      <w:sz w:val="20"/>
      <w:szCs w:val="20"/>
    </w:rPr>
  </w:style>
  <w:style w:type="character" w:customStyle="1" w:styleId="WW8Num23z3">
    <w:name w:val="WW8Num23z3"/>
    <w:rPr>
      <w:rFonts w:ascii="Wingdings" w:hAnsi="Wingdings" w:cs="StarSymbol"/>
      <w:sz w:val="18"/>
      <w:szCs w:val="18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298z0">
    <w:name w:val="WW8Num298z0"/>
    <w:rPr>
      <w:rFonts w:ascii="Symbol" w:hAnsi="Symbol"/>
    </w:rPr>
  </w:style>
  <w:style w:type="character" w:customStyle="1" w:styleId="WW8Num298z1">
    <w:name w:val="WW8Num298z1"/>
    <w:rPr>
      <w:rFonts w:ascii="Courier New" w:hAnsi="Courier New" w:cs="Courier New"/>
    </w:rPr>
  </w:style>
  <w:style w:type="character" w:customStyle="1" w:styleId="WW8Num298z2">
    <w:name w:val="WW8Num298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440z0">
    <w:name w:val="WW8Num440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9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uiPriority w:val="99"/>
    <w:pPr>
      <w:spacing w:before="280" w:after="119"/>
    </w:pPr>
  </w:style>
  <w:style w:type="paragraph" w:styleId="ab">
    <w:name w:val="Body Text Indent"/>
    <w:basedOn w:val="a"/>
    <w:link w:val="ac"/>
    <w:pPr>
      <w:widowControl/>
      <w:ind w:firstLine="720"/>
    </w:pPr>
    <w:rPr>
      <w:color w:val="000000"/>
      <w:sz w:val="28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both"/>
    </w:pPr>
    <w:rPr>
      <w:b/>
      <w:bCs/>
      <w:sz w:val="28"/>
      <w:szCs w:val="28"/>
    </w:rPr>
  </w:style>
  <w:style w:type="paragraph" w:styleId="af">
    <w:name w:val="footnote text"/>
    <w:basedOn w:val="a"/>
    <w:semiHidden/>
    <w:pPr>
      <w:widowControl/>
    </w:pPr>
    <w:rPr>
      <w:color w:val="000000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23">
    <w:name w:val="Основной текст с отступом 23"/>
    <w:basedOn w:val="a"/>
    <w:pPr>
      <w:ind w:left="360"/>
    </w:pPr>
    <w:rPr>
      <w:i/>
      <w:iCs/>
      <w:sz w:val="28"/>
    </w:rPr>
  </w:style>
  <w:style w:type="paragraph" w:customStyle="1" w:styleId="33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2Arial">
    <w:name w:val="Стиль Основной текст отчета 12 Arial"/>
    <w:basedOn w:val="a0"/>
    <w:pPr>
      <w:widowControl/>
      <w:spacing w:before="120" w:after="0"/>
      <w:ind w:firstLine="709"/>
      <w:jc w:val="both"/>
    </w:pPr>
    <w:rPr>
      <w:rFonts w:cs="Arial"/>
      <w:color w:val="000000"/>
    </w:rPr>
  </w:style>
  <w:style w:type="paragraph" w:customStyle="1" w:styleId="-">
    <w:name w:val="Концепция-текст"/>
    <w:basedOn w:val="a"/>
    <w:pPr>
      <w:widowControl/>
      <w:spacing w:before="120"/>
      <w:ind w:left="567"/>
      <w:jc w:val="both"/>
    </w:pPr>
    <w:rPr>
      <w:rFonts w:cs="Arial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pPr>
      <w:ind w:right="276" w:firstLine="567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link w:val="ConsNormal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22"/>
      <w:szCs w:val="22"/>
      <w:lang w:eastAsia="ar-SA"/>
    </w:rPr>
  </w:style>
  <w:style w:type="character" w:customStyle="1" w:styleId="ConsNormal0">
    <w:name w:val="ConsNormal Знак"/>
    <w:link w:val="ConsNormal"/>
    <w:rPr>
      <w:rFonts w:ascii="Arial" w:eastAsia="Arial" w:hAnsi="Arial" w:cs="Arial"/>
      <w:kern w:val="1"/>
      <w:sz w:val="22"/>
      <w:szCs w:val="22"/>
      <w:lang w:val="ru-RU" w:eastAsia="ar-SA" w:bidi="ar-SA"/>
    </w:rPr>
  </w:style>
  <w:style w:type="paragraph" w:customStyle="1" w:styleId="af2">
    <w:name w:val="Обычный в таблице"/>
    <w:basedOn w:val="a"/>
    <w:pPr>
      <w:spacing w:line="360" w:lineRule="auto"/>
      <w:ind w:hanging="6"/>
      <w:jc w:val="center"/>
    </w:pPr>
    <w:rPr>
      <w:rFonts w:eastAsia="Times New Roman"/>
    </w:rPr>
  </w:style>
  <w:style w:type="paragraph" w:styleId="af3">
    <w:name w:val="header"/>
    <w:aliases w:val="ВерхКолонтитул"/>
    <w:basedOn w:val="a"/>
    <w:link w:val="af4"/>
    <w:uiPriority w:val="99"/>
    <w:pPr>
      <w:tabs>
        <w:tab w:val="center" w:pos="4677"/>
        <w:tab w:val="right" w:pos="9355"/>
      </w:tabs>
      <w:spacing w:line="360" w:lineRule="auto"/>
    </w:pPr>
    <w:rPr>
      <w:rFonts w:eastAsia="Times New Roman"/>
    </w:rPr>
  </w:style>
  <w:style w:type="paragraph" w:customStyle="1" w:styleId="100">
    <w:name w:val="Заголовок 10"/>
    <w:basedOn w:val="10"/>
    <w:next w:val="a0"/>
    <w:rPr>
      <w:bCs/>
      <w:sz w:val="21"/>
      <w:szCs w:val="21"/>
    </w:rPr>
  </w:style>
  <w:style w:type="paragraph" w:customStyle="1" w:styleId="af5">
    <w:name w:val="Содержимое врезки"/>
    <w:basedOn w:val="a0"/>
  </w:style>
  <w:style w:type="paragraph" w:customStyle="1" w:styleId="211">
    <w:name w:val="Основной текст с отступом 211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">
    <w:name w:val="Основной текст с отступом 22"/>
    <w:basedOn w:val="a"/>
    <w:pPr>
      <w:ind w:left="360"/>
    </w:pPr>
    <w:rPr>
      <w:i/>
      <w:iCs/>
      <w:sz w:val="28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0">
    <w:name w:val="Текст2"/>
    <w:basedOn w:val="a"/>
    <w:rPr>
      <w:rFonts w:ascii="Courier New" w:hAnsi="Courier New" w:cs="Courier New"/>
      <w:sz w:val="20"/>
      <w:szCs w:val="20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7">
    <w:name w:val="FollowedHyperlink"/>
    <w:rPr>
      <w:color w:val="800080"/>
      <w:u w:val="single"/>
    </w:rPr>
  </w:style>
  <w:style w:type="paragraph" w:styleId="24">
    <w:name w:val="Body Text Indent 2"/>
    <w:basedOn w:val="a"/>
    <w:pPr>
      <w:ind w:firstLine="709"/>
      <w:jc w:val="both"/>
    </w:pPr>
  </w:style>
  <w:style w:type="paragraph" w:styleId="25">
    <w:name w:val="Body Text 2"/>
    <w:basedOn w:val="a"/>
    <w:link w:val="26"/>
    <w:uiPriority w:val="99"/>
    <w:pPr>
      <w:widowControl/>
      <w:suppressAutoHyphens w:val="0"/>
      <w:spacing w:after="120" w:line="480" w:lineRule="auto"/>
    </w:pPr>
    <w:rPr>
      <w:rFonts w:eastAsia="Times New Roman"/>
      <w:kern w:val="0"/>
      <w:sz w:val="28"/>
      <w:szCs w:val="20"/>
    </w:rPr>
  </w:style>
  <w:style w:type="paragraph" w:styleId="34">
    <w:name w:val="Body Text Indent 3"/>
    <w:basedOn w:val="a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paragraph" w:customStyle="1" w:styleId="af8">
    <w:name w:val="Стиль Заголовок + не полужирный"/>
    <w:basedOn w:val="10"/>
    <w:pPr>
      <w:jc w:val="center"/>
    </w:pPr>
  </w:style>
  <w:style w:type="paragraph" w:customStyle="1" w:styleId="15">
    <w:name w:val="Стиль Заголовок 1 + без подчеркивания"/>
    <w:basedOn w:val="1"/>
  </w:style>
  <w:style w:type="paragraph" w:styleId="16">
    <w:name w:val="toc 1"/>
    <w:basedOn w:val="a"/>
    <w:next w:val="a"/>
    <w:autoRedefine/>
    <w:uiPriority w:val="39"/>
    <w:pPr>
      <w:tabs>
        <w:tab w:val="right" w:leader="dot" w:pos="9627"/>
      </w:tabs>
      <w:spacing w:line="276" w:lineRule="auto"/>
      <w:jc w:val="both"/>
    </w:pPr>
    <w:rPr>
      <w:iCs/>
      <w:noProof/>
      <w:sz w:val="28"/>
      <w:szCs w:val="28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9627"/>
      </w:tabs>
      <w:spacing w:line="276" w:lineRule="auto"/>
      <w:ind w:left="240" w:firstLine="44"/>
    </w:pPr>
    <w:rPr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pPr>
      <w:tabs>
        <w:tab w:val="right" w:leader="dot" w:pos="9639"/>
      </w:tabs>
      <w:ind w:left="480"/>
    </w:pPr>
  </w:style>
  <w:style w:type="character" w:styleId="af9">
    <w:name w:val="page number"/>
    <w:basedOn w:val="a1"/>
  </w:style>
  <w:style w:type="paragraph" w:customStyle="1" w:styleId="17">
    <w:name w:val="Обычный1"/>
    <w:pPr>
      <w:widowControl w:val="0"/>
    </w:pPr>
  </w:style>
  <w:style w:type="character" w:customStyle="1" w:styleId="18">
    <w:name w:val="Знак Знак1"/>
    <w:rPr>
      <w:sz w:val="28"/>
      <w:lang w:val="ru-RU" w:eastAsia="ru-RU" w:bidi="ar-SA"/>
    </w:rPr>
  </w:style>
  <w:style w:type="paragraph" w:styleId="afa">
    <w:name w:val="List Paragraph"/>
    <w:basedOn w:val="a"/>
    <w:link w:val="afb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c">
    <w:name w:val="Emphasis"/>
    <w:qFormat/>
    <w:rPr>
      <w:rFonts w:ascii="Arial" w:hAnsi="Arial" w:cs="Arial"/>
      <w:i/>
      <w:iCs/>
      <w:sz w:val="22"/>
      <w:szCs w:val="22"/>
    </w:rPr>
  </w:style>
  <w:style w:type="paragraph" w:styleId="afd">
    <w:name w:val="Title"/>
    <w:basedOn w:val="a"/>
    <w:link w:val="afe"/>
    <w:qFormat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character" w:customStyle="1" w:styleId="aff">
    <w:name w:val="Знак Знак"/>
    <w:rPr>
      <w:sz w:val="28"/>
      <w:lang w:val="ru-RU" w:eastAsia="ru-RU" w:bidi="ar-SA"/>
    </w:rPr>
  </w:style>
  <w:style w:type="paragraph" w:styleId="36">
    <w:name w:val="Body Text 3"/>
    <w:basedOn w:val="a"/>
    <w:pPr>
      <w:jc w:val="both"/>
    </w:pPr>
    <w:rPr>
      <w:color w:val="FF0000"/>
      <w:szCs w:val="28"/>
    </w:rPr>
  </w:style>
  <w:style w:type="paragraph" w:customStyle="1" w:styleId="S">
    <w:name w:val="S_Обычный в таблице"/>
    <w:basedOn w:val="a"/>
    <w:link w:val="S0"/>
    <w:pPr>
      <w:widowControl/>
      <w:suppressAutoHyphens w:val="0"/>
      <w:spacing w:line="360" w:lineRule="auto"/>
      <w:jc w:val="center"/>
    </w:pPr>
    <w:rPr>
      <w:rFonts w:eastAsia="Times New Roman"/>
      <w:kern w:val="0"/>
    </w:rPr>
  </w:style>
  <w:style w:type="character" w:customStyle="1" w:styleId="S0">
    <w:name w:val="S_Обычный в таблице Знак"/>
    <w:link w:val="S"/>
    <w:rPr>
      <w:sz w:val="24"/>
      <w:szCs w:val="24"/>
    </w:rPr>
  </w:style>
  <w:style w:type="character" w:customStyle="1" w:styleId="NoSpacingChar">
    <w:name w:val="No Spacing Char"/>
    <w:link w:val="19"/>
    <w:uiPriority w:val="99"/>
    <w:locked/>
    <w:rPr>
      <w:rFonts w:ascii="Calibri" w:hAnsi="Calibri" w:cs="Calibri"/>
      <w:lang w:val="ru-RU" w:eastAsia="ru-RU" w:bidi="ar-SA"/>
    </w:rPr>
  </w:style>
  <w:style w:type="paragraph" w:customStyle="1" w:styleId="19">
    <w:name w:val="Без интервала1"/>
    <w:link w:val="NoSpacingChar"/>
    <w:uiPriority w:val="99"/>
    <w:rPr>
      <w:rFonts w:ascii="Calibri" w:hAnsi="Calibri" w:cs="Calibri"/>
    </w:rPr>
  </w:style>
  <w:style w:type="character" w:customStyle="1" w:styleId="aff0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ff1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customStyle="1" w:styleId="aff2">
    <w:name w:val="Заголовок статьи"/>
    <w:basedOn w:val="a"/>
    <w:next w:val="a"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ff3">
    <w:name w:val="Заголовок + По центру"/>
    <w:aliases w:val="Перед:  0 пт,После:  0 пт,Междустр.интервал:  одинар..."/>
    <w:basedOn w:val="a"/>
    <w:pPr>
      <w:tabs>
        <w:tab w:val="left" w:pos="5040"/>
      </w:tabs>
      <w:ind w:right="208" w:firstLine="851"/>
      <w:jc w:val="both"/>
    </w:pPr>
    <w:rPr>
      <w:bCs/>
    </w:rPr>
  </w:style>
  <w:style w:type="paragraph" w:customStyle="1" w:styleId="270">
    <w:name w:val="2.7 Транспортная инфраструктура"/>
    <w:basedOn w:val="2"/>
    <w:pPr>
      <w:ind w:firstLine="851"/>
      <w:jc w:val="center"/>
    </w:pPr>
    <w:rPr>
      <w:rFonts w:cs="Times New Roman"/>
      <w:color w:val="FF0000"/>
    </w:rPr>
  </w:style>
  <w:style w:type="paragraph" w:customStyle="1" w:styleId="aff4">
    <w:name w:val="Стиль Заголовок + По центру"/>
    <w:basedOn w:val="10"/>
    <w:pPr>
      <w:spacing w:before="0" w:after="0" w:line="240" w:lineRule="auto"/>
      <w:jc w:val="center"/>
    </w:pPr>
    <w:rPr>
      <w:rFonts w:eastAsia="Times New Roman" w:cs="Times New Roman"/>
      <w:bCs/>
      <w:szCs w:val="20"/>
    </w:rPr>
  </w:style>
  <w:style w:type="paragraph" w:customStyle="1" w:styleId="aff5">
    <w:name w:val="Газоснабжение и теплоснабжение."/>
    <w:basedOn w:val="a"/>
    <w:pPr>
      <w:spacing w:after="60"/>
      <w:ind w:left="15" w:firstLine="851"/>
      <w:jc w:val="both"/>
    </w:pPr>
    <w:rPr>
      <w:rFonts w:eastAsia="Times New Roman"/>
      <w:lang w:eastAsia="ar-SA"/>
    </w:rPr>
  </w:style>
  <w:style w:type="paragraph" w:customStyle="1" w:styleId="aff6">
    <w:name w:val="Обычный + Черный"/>
    <w:basedOn w:val="10"/>
    <w:pPr>
      <w:spacing w:before="0" w:after="0" w:line="240" w:lineRule="auto"/>
      <w:jc w:val="center"/>
    </w:pPr>
  </w:style>
  <w:style w:type="paragraph" w:styleId="1a">
    <w:name w:val="index 1"/>
    <w:basedOn w:val="a"/>
    <w:next w:val="a"/>
    <w:autoRedefine/>
    <w:semiHidden/>
    <w:pPr>
      <w:ind w:left="240" w:hanging="240"/>
    </w:pPr>
  </w:style>
  <w:style w:type="paragraph" w:customStyle="1" w:styleId="ArialNarrow">
    <w:name w:val="Обычный + (латиница) Arial Narrow"/>
    <w:aliases w:val="полужирный,По центру,Междустр.интервал: ..."/>
    <w:basedOn w:val="aff6"/>
  </w:style>
  <w:style w:type="character" w:customStyle="1" w:styleId="ae">
    <w:name w:val="Нижний колонтитул Знак"/>
    <w:link w:val="ad"/>
    <w:uiPriority w:val="99"/>
    <w:rPr>
      <w:rFonts w:eastAsia="Lucida Sans Unicode"/>
      <w:kern w:val="1"/>
      <w:sz w:val="24"/>
      <w:szCs w:val="24"/>
    </w:rPr>
  </w:style>
  <w:style w:type="character" w:customStyle="1" w:styleId="a4">
    <w:name w:val="Основной текст Знак"/>
    <w:aliases w:val=" Знак1 Знак Знак, Знак Знак Знак Знак"/>
    <w:link w:val="a0"/>
    <w:rPr>
      <w:rFonts w:eastAsia="Lucida Sans Unicode"/>
      <w:kern w:val="1"/>
      <w:sz w:val="24"/>
      <w:szCs w:val="24"/>
    </w:rPr>
  </w:style>
  <w:style w:type="character" w:customStyle="1" w:styleId="26">
    <w:name w:val="Основной текст 2 Знак"/>
    <w:link w:val="25"/>
    <w:uiPriority w:val="99"/>
    <w:rPr>
      <w:sz w:val="28"/>
    </w:rPr>
  </w:style>
  <w:style w:type="paragraph" w:styleId="aff7">
    <w:name w:val="Balloon Text"/>
    <w:basedOn w:val="a"/>
    <w:link w:val="aff8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List Bullet 3"/>
    <w:basedOn w:val="a"/>
    <w:autoRedefine/>
    <w:pPr>
      <w:widowControl/>
      <w:numPr>
        <w:numId w:val="28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rFonts w:eastAsia="Times New Roman"/>
      <w:kern w:val="0"/>
      <w:sz w:val="28"/>
    </w:rPr>
  </w:style>
  <w:style w:type="character" w:customStyle="1" w:styleId="afe">
    <w:name w:val="Заголовок Знак"/>
    <w:link w:val="afd"/>
    <w:rPr>
      <w:sz w:val="28"/>
    </w:rPr>
  </w:style>
  <w:style w:type="paragraph" w:customStyle="1" w:styleId="220">
    <w:name w:val="Основной текст 22"/>
    <w:basedOn w:val="a"/>
    <w:pPr>
      <w:widowControl/>
      <w:suppressAutoHyphens w:val="0"/>
      <w:ind w:firstLine="720"/>
      <w:jc w:val="both"/>
    </w:pPr>
    <w:rPr>
      <w:rFonts w:eastAsia="Times New Roman"/>
      <w:kern w:val="0"/>
      <w:szCs w:val="20"/>
    </w:rPr>
  </w:style>
  <w:style w:type="character" w:customStyle="1" w:styleId="extended-textfull">
    <w:name w:val="extended-text__full"/>
  </w:style>
  <w:style w:type="character" w:customStyle="1" w:styleId="28">
    <w:name w:val="Основной текст (2)_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/>
      <w:shd w:val="clear" w:color="auto" w:fill="FFFFFF"/>
      <w:suppressAutoHyphens w:val="0"/>
      <w:spacing w:line="0" w:lineRule="atLeast"/>
      <w:ind w:hanging="800"/>
    </w:pPr>
    <w:rPr>
      <w:rFonts w:eastAsia="Times New Roman"/>
      <w:kern w:val="0"/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basedOn w:val="a1"/>
    <w:link w:val="af3"/>
    <w:uiPriority w:val="99"/>
    <w:rPr>
      <w:kern w:val="1"/>
      <w:sz w:val="24"/>
      <w:szCs w:val="24"/>
    </w:rPr>
  </w:style>
  <w:style w:type="character" w:customStyle="1" w:styleId="ac">
    <w:name w:val="Основной текст с отступом Знак"/>
    <w:link w:val="ab"/>
    <w:rPr>
      <w:rFonts w:eastAsia="Lucida Sans Unicode"/>
      <w:color w:val="000000"/>
      <w:kern w:val="1"/>
      <w:sz w:val="28"/>
    </w:rPr>
  </w:style>
  <w:style w:type="paragraph" w:customStyle="1" w:styleId="ff7428cfd97dac0e8f4506aa708e2a26msolistparagraphmrcssattr">
    <w:name w:val="ff7428cfd97dac0e8f4506aa708e2a26msolistparagraph_mr_css_attr"/>
    <w:basedOn w:val="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f9">
    <w:name w:val="_Обычный"/>
    <w:basedOn w:val="a"/>
    <w:semiHidden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</w:rPr>
  </w:style>
  <w:style w:type="character" w:customStyle="1" w:styleId="afb">
    <w:name w:val="Абзац списка Знак"/>
    <w:link w:val="afa"/>
    <w:qFormat/>
    <w:locked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4DE6-3541-4F56-BF2B-17E7AEEC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23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ЗАО"НАДИР"</Company>
  <LinksUpToDate>false</LinksUpToDate>
  <CharactersWithSpaces>38655</CharactersWithSpaces>
  <SharedDoc>false</SharedDoc>
  <HLinks>
    <vt:vector size="120" baseType="variant"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1703968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1179703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_Toc231969261</vt:lpwstr>
      </vt:variant>
      <vt:variant>
        <vt:i4>1179703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_Toc231969260</vt:lpwstr>
      </vt:variant>
      <vt:variant>
        <vt:i4>1114167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_Toc231969259</vt:lpwstr>
      </vt:variant>
      <vt:variant>
        <vt:i4>1114167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_Toc231969258</vt:lpwstr>
      </vt:variant>
      <vt:variant>
        <vt:i4>1114167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_Toc231969257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_Toc231969256</vt:lpwstr>
      </vt:variant>
      <vt:variant>
        <vt:i4>1114167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_Toc231969255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_Toc231969254</vt:lpwstr>
      </vt:variant>
      <vt:variant>
        <vt:i4>1114167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_Toc231969253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_Toc231969252</vt:lpwstr>
      </vt:variant>
      <vt:variant>
        <vt:i4>1114167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_Toc231969251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_Toc231969250</vt:lpwstr>
      </vt:variant>
      <vt:variant>
        <vt:i4>1048631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_Toc231969249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_Toc231969248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_Toc231969247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_Toc231969245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_Toc231969244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_Toc231969243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Коммисаров А.В,</dc:creator>
  <cp:lastModifiedBy>Пользователь</cp:lastModifiedBy>
  <cp:revision>30</cp:revision>
  <cp:lastPrinted>2021-07-30T06:03:00Z</cp:lastPrinted>
  <dcterms:created xsi:type="dcterms:W3CDTF">2021-11-25T12:49:00Z</dcterms:created>
  <dcterms:modified xsi:type="dcterms:W3CDTF">2022-06-06T14:59:00Z</dcterms:modified>
</cp:coreProperties>
</file>