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5B" w:rsidRDefault="00CC7F5B" w:rsidP="00CC7F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Нотариус при осуществлении частной практики обязан страховать свою гражданскую ответственность.</w:t>
      </w:r>
    </w:p>
    <w:p w:rsidR="00CC7F5B" w:rsidRDefault="00CC7F5B" w:rsidP="00CC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июле 2020 года со счетов Компании 1 на счет общества Компании 2 были перечислены 6,8 миллиона рублей. Причиной списания стала исполнительная надпись, совершенная нотариусом. Компания 1 подало заявление в МВД, что стало основанием для возбуждения уголовного дела.</w:t>
      </w:r>
    </w:p>
    <w:p w:rsidR="00CC7F5B" w:rsidRDefault="00CC7F5B" w:rsidP="00CC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гражданского дела суд признал, что причиной списания стало бездействие нотариуса. Она не предупредила Компанию 1 об исполнительной надписи. Причиной для ее совершения стало заявление агентства взыскать с общества долг по договору </w:t>
      </w:r>
      <w:proofErr w:type="spellStart"/>
      <w:r>
        <w:rPr>
          <w:rFonts w:ascii="Times New Roman" w:hAnsi="Times New Roman"/>
          <w:sz w:val="28"/>
          <w:szCs w:val="28"/>
        </w:rPr>
        <w:t>автопроката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6,8 миллиона рублей и 36,4 тысячи рублей за понесенные в связи с этим расходы. При этом агентство не уведомило должника о наличии долга, как это предусматривает законодательство, равно как и нотариус не произвела эту процедуру.</w:t>
      </w:r>
    </w:p>
    <w:p w:rsidR="00CC7F5B" w:rsidRDefault="00CC7F5B" w:rsidP="00CC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свою очередь решением Арбитражного суда города Санкт-Петербурга и Ленинградской области сделка по </w:t>
      </w:r>
      <w:proofErr w:type="spellStart"/>
      <w:r>
        <w:rPr>
          <w:rFonts w:ascii="Times New Roman" w:hAnsi="Times New Roman"/>
          <w:sz w:val="28"/>
          <w:szCs w:val="28"/>
        </w:rPr>
        <w:t>автопрокату</w:t>
      </w:r>
      <w:proofErr w:type="spellEnd"/>
      <w:r>
        <w:rPr>
          <w:rFonts w:ascii="Times New Roman" w:hAnsi="Times New Roman"/>
          <w:sz w:val="28"/>
          <w:szCs w:val="28"/>
        </w:rPr>
        <w:t xml:space="preserve"> была признана ничтожной.</w:t>
      </w:r>
    </w:p>
    <w:p w:rsidR="00CC7F5B" w:rsidRDefault="00CC7F5B" w:rsidP="00CC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Компания 1 обратилось в «АльфаСтрахование», чтобы признать страховой случай в рамках договора страхования ответственности нотариуса и получить возмещение, но получило отказ. Суды сошлись во мнении, что вина нотариуса не доказана, хотя оценка его действий была сформулирована в судебном решении по гражданскому делу.</w:t>
      </w:r>
    </w:p>
    <w:p w:rsidR="00CC7F5B" w:rsidRDefault="00CC7F5B" w:rsidP="00CC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суды не учли, что нотариус при осуществлении частной практики обязан страховать свою гражданскую ответственность, а страховым случаем считается вступившее в силу судебное решение или признанный страховщиком факт нанесения физическому лицу или компании ущерба по причине действий или бездействия нотариуса.</w:t>
      </w:r>
    </w:p>
    <w:p w:rsidR="00CC7F5B" w:rsidRDefault="00CC7F5B" w:rsidP="00CC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F5B" w:rsidRDefault="00CC7F5B" w:rsidP="00CC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 прокуратурой Болховского района</w:t>
      </w:r>
      <w:bookmarkStart w:id="0" w:name="_GoBack"/>
      <w:bookmarkEnd w:id="0"/>
    </w:p>
    <w:p w:rsidR="00DF104A" w:rsidRDefault="00CC7F5B" w:rsidP="00CC7F5B">
      <w:r>
        <w:rPr>
          <w:rFonts w:ascii="Times New Roman" w:hAnsi="Times New Roman"/>
          <w:sz w:val="28"/>
          <w:szCs w:val="28"/>
        </w:rPr>
        <w:br w:type="page"/>
      </w:r>
    </w:p>
    <w:sectPr w:rsidR="00DF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2D"/>
    <w:rsid w:val="0097372D"/>
    <w:rsid w:val="00CC7F5B"/>
    <w:rsid w:val="00D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4759"/>
  <w15:chartTrackingRefBased/>
  <w15:docId w15:val="{E902CBED-3AD0-4969-A30A-D3B49193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2023-12-27T12:34:00Z</dcterms:created>
  <dcterms:modified xsi:type="dcterms:W3CDTF">2023-12-27T12:34:00Z</dcterms:modified>
</cp:coreProperties>
</file>