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7"/>
        <w:suppressAutoHyphens/>
        <w:spacing w:before="120"/>
        <w:jc w:val="center"/>
        <w:rPr>
          <w:b/>
        </w:rPr>
      </w:pPr>
      <w:bookmarkStart w:id="0" w:name="_Toc249433304"/>
      <w:bookmarkStart w:id="1" w:name="_Toc251589522"/>
      <w:r>
        <w:rPr>
          <w:b/>
          <w:sz w:val="36"/>
          <w:szCs w:val="36"/>
        </w:rPr>
        <w:drawing>
          <wp:inline distT="0" distB="0" distL="0" distR="0">
            <wp:extent cx="5943600" cy="9931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b/>
          <w:i/>
          <w:sz w:val="40"/>
          <w:szCs w:val="40"/>
        </w:rPr>
        <w:t>ПРАВИЛА ЗЕМЛЕПОЛЬЗОВАНИЯ И ЗАСТРОЙКИ</w:t>
      </w:r>
    </w:p>
    <w:p>
      <w:pPr>
        <w:overflowPunct w:val="0"/>
        <w:autoSpaceDE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  <w:highlight w:val="red"/>
        </w:rPr>
      </w:pP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Михневского сельского поселения </w:t>
      </w: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Болховского района Орловской области </w:t>
      </w: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ConsPlusNormal"/>
        <w:ind w:firstLine="0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Раздел III. Градостроительные регламенты</w:t>
      </w:r>
    </w:p>
    <w:p>
      <w:pPr>
        <w:pStyle w:val="a7"/>
        <w:spacing w:line="240" w:lineRule="exact"/>
        <w:ind w:right="592"/>
        <w:jc w:val="center"/>
        <w:rPr>
          <w:bCs/>
          <w:sz w:val="32"/>
          <w:szCs w:val="32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pacing w:line="240" w:lineRule="exact"/>
        <w:ind w:right="592"/>
        <w:jc w:val="center"/>
        <w:rPr>
          <w:rFonts w:ascii="Times New Roman" w:hAnsi="Times New Roman"/>
          <w:bCs/>
          <w:sz w:val="28"/>
          <w:szCs w:val="28"/>
        </w:rPr>
      </w:pPr>
    </w:p>
    <w:p>
      <w:pPr>
        <w:pStyle w:val="a7"/>
        <w:suppressAutoHyphen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Орёл,  2020 г</w:t>
      </w:r>
    </w:p>
    <w:p>
      <w:pPr>
        <w:jc w:val="center"/>
      </w:pPr>
    </w:p>
    <w:p>
      <w:pPr>
        <w:rPr>
          <w:b/>
        </w:rPr>
      </w:pPr>
      <w:r>
        <w:br w:type="page"/>
      </w: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3600" cy="99314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spacing w:before="120"/>
        <w:jc w:val="center"/>
        <w:rPr>
          <w:b/>
        </w:rPr>
      </w:pPr>
    </w:p>
    <w:p>
      <w:pPr>
        <w:pStyle w:val="a7"/>
        <w:suppressAutoHyphens/>
        <w:jc w:val="center"/>
        <w:rPr>
          <w:b/>
          <w:sz w:val="36"/>
          <w:szCs w:val="36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pStyle w:val="a7"/>
        <w:suppressAutoHyphens/>
        <w:jc w:val="center"/>
        <w:rPr>
          <w:b/>
          <w:i/>
          <w:sz w:val="40"/>
          <w:szCs w:val="40"/>
        </w:rPr>
      </w:pP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Михневского сельского поселения </w:t>
      </w:r>
    </w:p>
    <w:p>
      <w:pPr>
        <w:overflowPunct w:val="0"/>
        <w:autoSpaceDN w:val="0"/>
        <w:adjustRightInd w:val="0"/>
        <w:spacing w:line="360" w:lineRule="auto"/>
        <w:ind w:right="592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Болховского района Орловской области </w:t>
      </w: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b/>
          <w:i/>
          <w:sz w:val="40"/>
          <w:szCs w:val="40"/>
        </w:rPr>
      </w:pPr>
    </w:p>
    <w:p>
      <w:pPr>
        <w:pStyle w:val="a7"/>
        <w:jc w:val="center"/>
        <w:rPr>
          <w:b/>
          <w:i/>
          <w:sz w:val="40"/>
          <w:szCs w:val="40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545"/>
        <w:gridCol w:w="7087"/>
      </w:tblGrid>
      <w:tr>
        <w:tc>
          <w:tcPr>
            <w:tcW w:w="3545" w:type="dxa"/>
          </w:tcPr>
          <w:p>
            <w:pPr>
              <w:autoSpaceDE w:val="0"/>
              <w:spacing w:line="480" w:lineRule="auto"/>
              <w:ind w:left="284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Начальник отдела</w:t>
            </w:r>
            <w:r>
              <w:rPr>
                <w:rFonts w:eastAsia="Calibri"/>
                <w:sz w:val="26"/>
                <w:szCs w:val="26"/>
                <w:lang w:eastAsia="ar-SA"/>
              </w:rPr>
              <w:t>:</w:t>
            </w:r>
          </w:p>
          <w:p>
            <w:pPr>
              <w:autoSpaceDE w:val="0"/>
              <w:spacing w:line="480" w:lineRule="auto"/>
              <w:ind w:left="318"/>
              <w:rPr>
                <w:rFonts w:eastAsia="Calibri"/>
                <w:sz w:val="26"/>
                <w:szCs w:val="26"/>
                <w:lang w:val="en-US"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Архитектор:</w:t>
            </w:r>
          </w:p>
        </w:tc>
        <w:tc>
          <w:tcPr>
            <w:tcW w:w="7087" w:type="dxa"/>
          </w:tcPr>
          <w:p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 </w:t>
            </w:r>
            <w:r>
              <w:rPr>
                <w:sz w:val="26"/>
                <w:szCs w:val="26"/>
                <w:lang w:eastAsia="ar-SA"/>
              </w:rPr>
              <w:t>Т.С. Грудева</w:t>
            </w:r>
          </w:p>
          <w:p>
            <w:pPr>
              <w:autoSpaceDE w:val="0"/>
              <w:spacing w:line="480" w:lineRule="auto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                                                        О.И Тимошевская</w:t>
            </w:r>
          </w:p>
        </w:tc>
      </w:tr>
    </w:tbl>
    <w:p>
      <w:pPr>
        <w:jc w:val="center"/>
      </w:pPr>
    </w:p>
    <w:p/>
    <w:p>
      <w:pPr>
        <w:pStyle w:val="a7"/>
        <w:jc w:val="center"/>
        <w:rPr>
          <w:b/>
        </w:rPr>
      </w:pPr>
    </w:p>
    <w:p>
      <w:pPr>
        <w:pStyle w:val="a7"/>
        <w:jc w:val="center"/>
        <w:rPr>
          <w:b/>
        </w:rPr>
      </w:pPr>
    </w:p>
    <w:p>
      <w:pPr>
        <w:autoSpaceDE w:val="0"/>
        <w:spacing w:line="480" w:lineRule="auto"/>
        <w:ind w:left="284"/>
        <w:rPr>
          <w:sz w:val="26"/>
          <w:szCs w:val="26"/>
          <w:lang w:eastAsia="ar-SA"/>
        </w:rPr>
        <w:sectPr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afc"/>
        <w:tabs>
          <w:tab w:val="left" w:pos="1134"/>
          <w:tab w:val="left" w:pos="1276"/>
        </w:tabs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СОСТАВ ПРАВИЛ ЗЕМЛЕПОЛЬЗОВАНИЯ И ЗАСТРОЙКИ </w:t>
      </w:r>
      <w:r>
        <w:rPr>
          <w:b/>
          <w:sz w:val="26"/>
          <w:szCs w:val="26"/>
          <w:lang w:val="ru-RU"/>
        </w:rPr>
        <w:t>МИХНЕВСКОГО</w:t>
      </w:r>
      <w:r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  <w:lang w:val="ru-RU"/>
        </w:rPr>
        <w:t>БОЛХОВСКОГО</w:t>
      </w:r>
      <w:r>
        <w:rPr>
          <w:b/>
          <w:sz w:val="26"/>
          <w:szCs w:val="26"/>
        </w:rPr>
        <w:t xml:space="preserve"> РАЙОНА ОРЛОВСКОЙ ОБЛАСТИ</w:t>
      </w:r>
    </w:p>
    <w:p>
      <w:pPr>
        <w:pStyle w:val="afc"/>
        <w:tabs>
          <w:tab w:val="left" w:pos="1134"/>
          <w:tab w:val="left" w:pos="1276"/>
        </w:tabs>
        <w:ind w:firstLine="0"/>
        <w:contextualSpacing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6976"/>
      </w:tblGrid>
      <w:tr>
        <w:tc>
          <w:tcPr>
            <w:tcW w:w="2096" w:type="dxa"/>
            <w:shd w:val="clear" w:color="auto" w:fill="auto"/>
            <w:vAlign w:val="center"/>
          </w:tcPr>
          <w:p>
            <w:pPr>
              <w:pStyle w:val="afc"/>
              <w:tabs>
                <w:tab w:val="left" w:pos="1134"/>
                <w:tab w:val="left" w:pos="1276"/>
              </w:tabs>
              <w:spacing w:after="12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Обозначение</w:t>
            </w:r>
          </w:p>
        </w:tc>
        <w:tc>
          <w:tcPr>
            <w:tcW w:w="6976" w:type="dxa"/>
            <w:shd w:val="clear" w:color="auto" w:fill="auto"/>
            <w:vAlign w:val="center"/>
          </w:tcPr>
          <w:p>
            <w:pPr>
              <w:pStyle w:val="afc"/>
              <w:tabs>
                <w:tab w:val="left" w:pos="1134"/>
                <w:tab w:val="left" w:pos="1276"/>
              </w:tabs>
              <w:spacing w:after="120"/>
              <w:ind w:firstLine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</w:t>
            </w:r>
          </w:p>
        </w:tc>
      </w:tr>
      <w:tr>
        <w:tc>
          <w:tcPr>
            <w:tcW w:w="209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697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 применения Правил землепользования и застройки и внесения в них изменений</w:t>
            </w:r>
          </w:p>
        </w:tc>
      </w:tr>
      <w:tr>
        <w:tc>
          <w:tcPr>
            <w:tcW w:w="209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697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градостроительного зонирования</w:t>
            </w:r>
          </w:p>
        </w:tc>
      </w:tr>
      <w:tr>
        <w:tc>
          <w:tcPr>
            <w:tcW w:w="209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6976" w:type="dxa"/>
            <w:shd w:val="clear" w:color="auto" w:fill="auto"/>
          </w:tcPr>
          <w:p>
            <w:pPr>
              <w:pStyle w:val="afc"/>
              <w:tabs>
                <w:tab w:val="left" w:pos="1134"/>
                <w:tab w:val="left" w:pos="1276"/>
              </w:tabs>
              <w:spacing w:before="0" w:after="0"/>
              <w:ind w:firstLine="0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Градостроительные регламенты</w:t>
            </w:r>
          </w:p>
        </w:tc>
      </w:tr>
    </w:tbl>
    <w:p>
      <w:pPr>
        <w:pStyle w:val="afc"/>
        <w:tabs>
          <w:tab w:val="left" w:pos="1134"/>
          <w:tab w:val="left" w:pos="1276"/>
        </w:tabs>
        <w:spacing w:before="0" w:after="0"/>
        <w:ind w:firstLine="0"/>
        <w:contextualSpacing/>
        <w:jc w:val="center"/>
        <w:rPr>
          <w:b/>
        </w:rPr>
      </w:pPr>
    </w:p>
    <w:p>
      <w:pPr>
        <w:pStyle w:val="afc"/>
        <w:tabs>
          <w:tab w:val="left" w:pos="1134"/>
          <w:tab w:val="left" w:pos="1276"/>
        </w:tabs>
        <w:spacing w:before="0" w:after="0"/>
        <w:ind w:firstLine="0"/>
        <w:contextualSpacing/>
        <w:jc w:val="center"/>
        <w:rPr>
          <w:b/>
        </w:rPr>
      </w:pPr>
    </w:p>
    <w:p>
      <w:pPr>
        <w:jc w:val="center"/>
        <w:rPr>
          <w:b/>
          <w:sz w:val="32"/>
          <w:szCs w:val="32"/>
        </w:rPr>
        <w:sect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3027270"/>
        <w:docPartObj>
          <w:docPartGallery w:val="Table of Contents"/>
          <w:docPartUnique/>
        </w:docPartObj>
      </w:sdtPr>
      <w:sdtContent>
        <w:p>
          <w:pPr>
            <w:pStyle w:val="aff0"/>
            <w:spacing w:before="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Оглавление</w:t>
          </w:r>
        </w:p>
        <w:p>
          <w:pPr>
            <w:pStyle w:val="1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6"/>
              <w:szCs w:val="26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626668" w:history="1">
            <w:r>
              <w:rPr>
                <w:rStyle w:val="a4"/>
                <w:noProof/>
                <w:sz w:val="26"/>
                <w:szCs w:val="26"/>
              </w:rPr>
              <w:t>РАЗДЕЛ III. ГРАДОСТРОИТЕЛЬНЫЕ РЕГЛАМЕНТЫ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_Toc80626668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69" w:history="1">
            <w:r>
              <w:rPr>
                <w:rStyle w:val="a4"/>
                <w:noProof/>
                <w:sz w:val="26"/>
                <w:szCs w:val="26"/>
              </w:rPr>
              <w:t>ГЛАВА 8. ОБЩИЕ ПОЛОЖЕНИЯ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_Toc80626669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0" w:history="1">
            <w:r>
              <w:rPr>
                <w:rStyle w:val="a4"/>
                <w:noProof/>
                <w:sz w:val="26"/>
                <w:szCs w:val="26"/>
              </w:rPr>
              <w:t>Статья 15. Структура градостроительных регламентов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_Toc80626670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1" w:history="1">
            <w:r>
              <w:rPr>
                <w:rStyle w:val="a4"/>
                <w:noProof/>
                <w:sz w:val="26"/>
                <w:szCs w:val="26"/>
              </w:rPr>
              <w:t>Статья 16. Общие требования к видам разрешенного использования земельных участков и объектов капитального строительства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_Toc80626671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5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24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2" w:history="1">
            <w:r>
              <w:rPr>
                <w:rStyle w:val="a4"/>
                <w:noProof/>
                <w:sz w:val="26"/>
                <w:szCs w:val="26"/>
              </w:rPr>
              <w:t>ГЛАВА 9. 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РАЗРЕШЕННОГО СТРОИТЕЛЬСТВА, РЕКОНСТРУКЦИИ ОБЪЕКТОВ КАПИТАЛЬНОГО СТРОИТЕЛЬСТВА, ОТНОСЯЩИЕСЯ К ОТДЕЛЬНЫМ ТЕРРИТОРИАЛЬНЫМ ЗОНАМ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_Toc80626672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3" w:history="1">
            <w:r>
              <w:rPr>
                <w:rStyle w:val="a4"/>
                <w:noProof/>
                <w:sz w:val="26"/>
                <w:szCs w:val="26"/>
              </w:rPr>
              <w:t>Статья 17. Жилая зона (Ж)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_Toc80626673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11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4" w:history="1">
            <w:r>
              <w:rPr>
                <w:rStyle w:val="a4"/>
                <w:noProof/>
                <w:sz w:val="26"/>
                <w:szCs w:val="26"/>
              </w:rPr>
              <w:t>Статья 18. Производственная зона, зона инженерной и транспортной инфраструктур I-V класса опасности (П1)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_Toc80626674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5" w:history="1">
            <w:r>
              <w:rPr>
                <w:rStyle w:val="a4"/>
                <w:noProof/>
                <w:sz w:val="26"/>
                <w:szCs w:val="26"/>
              </w:rPr>
              <w:t>Статья 19. Производственная зона, зона инженерной и транспортной инфраструктур III-V класса опасности (П2)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_Toc80626675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17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6" w:history="1">
            <w:r>
              <w:rPr>
                <w:rStyle w:val="a4"/>
                <w:noProof/>
                <w:sz w:val="26"/>
                <w:szCs w:val="26"/>
              </w:rPr>
              <w:t>Статья 20. Зона сельскохозяйственного использования (СХИ)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_Toc80626676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23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7" w:history="1">
            <w:r>
              <w:rPr>
                <w:rStyle w:val="a4"/>
                <w:noProof/>
                <w:sz w:val="26"/>
                <w:szCs w:val="26"/>
              </w:rPr>
              <w:t>Статья 21. Зона сельскохозяйственного назначения (СХН)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_Toc80626677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27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80626678" w:history="1">
            <w:r>
              <w:rPr>
                <w:rStyle w:val="a4"/>
                <w:noProof/>
                <w:sz w:val="26"/>
                <w:szCs w:val="26"/>
              </w:rPr>
              <w:t>Статья 22. Зона рекреационного назначения (Р)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_Toc80626678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31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pStyle w:val="33"/>
            <w:tabs>
              <w:tab w:val="right" w:leader="dot" w:pos="9345"/>
            </w:tabs>
            <w:rPr>
              <w:noProof/>
              <w:sz w:val="26"/>
              <w:szCs w:val="26"/>
            </w:rPr>
          </w:pPr>
          <w:hyperlink w:anchor="_Toc80626679" w:history="1">
            <w:r>
              <w:rPr>
                <w:rStyle w:val="a4"/>
                <w:noProof/>
                <w:sz w:val="26"/>
                <w:szCs w:val="26"/>
              </w:rPr>
              <w:t>Статья 23. Зона специального назначения (СП)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_Toc80626679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33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spacing w:line="360" w:lineRule="auto"/>
            <w:rPr>
              <w:rFonts w:eastAsiaTheme="minorEastAsia"/>
              <w:noProof/>
              <w:sz w:val="26"/>
              <w:szCs w:val="26"/>
            </w:rPr>
          </w:pPr>
          <w:r>
            <w:rPr>
              <w:rFonts w:eastAsiaTheme="minorEastAsia"/>
              <w:noProof/>
            </w:rPr>
            <w:t xml:space="preserve">       </w:t>
          </w:r>
          <w:r>
            <w:rPr>
              <w:rFonts w:eastAsiaTheme="minorEastAsia"/>
              <w:noProof/>
              <w:sz w:val="26"/>
              <w:szCs w:val="26"/>
            </w:rPr>
            <w:t xml:space="preserve"> Статья 24. Зона лесов (ЛФ)……………………………………………………….35</w:t>
          </w:r>
        </w:p>
        <w:p>
          <w:pPr>
            <w:pStyle w:val="33"/>
            <w:tabs>
              <w:tab w:val="right" w:leader="dot" w:pos="9345"/>
            </w:tabs>
            <w:ind w:left="48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0626680" w:history="1">
            <w:r>
              <w:rPr>
                <w:rStyle w:val="a4"/>
                <w:noProof/>
                <w:sz w:val="26"/>
                <w:szCs w:val="26"/>
              </w:rPr>
              <w:t>Статья 25.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      </w:r>
            <w:r>
              <w:rPr>
                <w:noProof/>
                <w:webHidden/>
                <w:sz w:val="26"/>
                <w:szCs w:val="26"/>
              </w:rPr>
              <w:tab/>
            </w:r>
            <w:r>
              <w:rPr>
                <w:noProof/>
                <w:webHidden/>
                <w:sz w:val="26"/>
                <w:szCs w:val="26"/>
              </w:rPr>
              <w:fldChar w:fldCharType="begin"/>
            </w:r>
            <w:r>
              <w:rPr>
                <w:noProof/>
                <w:webHidden/>
                <w:sz w:val="26"/>
                <w:szCs w:val="26"/>
              </w:rPr>
              <w:instrText xml:space="preserve"> PAGEREF _Toc80626680 \h </w:instrText>
            </w:r>
            <w:r>
              <w:rPr>
                <w:noProof/>
                <w:webHidden/>
                <w:sz w:val="26"/>
                <w:szCs w:val="26"/>
              </w:rPr>
            </w:r>
            <w:r>
              <w:rPr>
                <w:noProof/>
                <w:webHidden/>
                <w:sz w:val="26"/>
                <w:szCs w:val="26"/>
              </w:rPr>
              <w:fldChar w:fldCharType="separate"/>
            </w:r>
            <w:r>
              <w:rPr>
                <w:noProof/>
                <w:webHidden/>
                <w:sz w:val="26"/>
                <w:szCs w:val="26"/>
              </w:rPr>
              <w:t>36</w:t>
            </w:r>
            <w:r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>
          <w:pPr>
            <w:jc w:val="both"/>
          </w:pPr>
          <w:r>
            <w:fldChar w:fldCharType="end"/>
          </w:r>
        </w:p>
      </w:sdtContent>
    </w:sdt>
    <w:p>
      <w:pPr>
        <w:pStyle w:val="14"/>
        <w:tabs>
          <w:tab w:val="right" w:leader="dot" w:pos="9344"/>
        </w:tabs>
      </w:pPr>
    </w:p>
    <w:p>
      <w:pPr>
        <w:pStyle w:val="1"/>
        <w:spacing w:before="0"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2" w:name="_Toc73017546"/>
      <w:bookmarkStart w:id="3" w:name="_Toc76995041"/>
      <w:bookmarkStart w:id="4" w:name="_Toc80626668"/>
      <w:bookmarkEnd w:id="0"/>
      <w:bookmarkEnd w:id="1"/>
      <w:r>
        <w:rPr>
          <w:rFonts w:ascii="Times New Roman" w:hAnsi="Times New Roman"/>
          <w:sz w:val="26"/>
          <w:szCs w:val="26"/>
        </w:rPr>
        <w:lastRenderedPageBreak/>
        <w:t>РАЗДЕЛ III. ГРАДОСТРОИТЕЛЬНЫЕ РЕГЛАМЕНТЫ</w:t>
      </w:r>
      <w:bookmarkEnd w:id="2"/>
      <w:bookmarkEnd w:id="3"/>
      <w:bookmarkEnd w:id="4"/>
    </w:p>
    <w:p>
      <w:pPr>
        <w:ind w:firstLine="709"/>
        <w:rPr>
          <w:rFonts w:eastAsia="NSimSun"/>
          <w:sz w:val="26"/>
          <w:szCs w:val="26"/>
          <w:lang w:bidi="hi-IN"/>
        </w:rPr>
      </w:pPr>
    </w:p>
    <w:p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Toc73017547"/>
      <w:bookmarkStart w:id="6" w:name="_Toc76995042"/>
      <w:bookmarkStart w:id="7" w:name="_Toc80626669"/>
      <w:r>
        <w:rPr>
          <w:rFonts w:ascii="Times New Roman" w:hAnsi="Times New Roman" w:cs="Times New Roman"/>
          <w:sz w:val="26"/>
          <w:szCs w:val="26"/>
        </w:rPr>
        <w:t>ГЛАВА 8. ОБЩИЕ ПОЛОЖЕНИЯ</w:t>
      </w:r>
      <w:bookmarkEnd w:id="5"/>
      <w:bookmarkEnd w:id="6"/>
      <w:bookmarkEnd w:id="7"/>
    </w:p>
    <w:p>
      <w:pPr>
        <w:ind w:firstLine="709"/>
        <w:rPr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8" w:name="_Toc73017548"/>
      <w:bookmarkStart w:id="9" w:name="_Toc76995043"/>
      <w:bookmarkStart w:id="10" w:name="_Toc80626670"/>
      <w:r>
        <w:rPr>
          <w:rFonts w:ascii="Times New Roman" w:hAnsi="Times New Roman" w:cs="Times New Roman"/>
        </w:rPr>
        <w:t>Статья 15. Структура градостроительных регламентов</w:t>
      </w:r>
      <w:bookmarkEnd w:id="8"/>
      <w:bookmarkEnd w:id="9"/>
      <w:bookmarkEnd w:id="10"/>
    </w:p>
    <w:p>
      <w:pPr>
        <w:ind w:firstLine="709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 xml:space="preserve">1. </w:t>
      </w:r>
      <w:r>
        <w:rPr>
          <w:sz w:val="26"/>
          <w:szCs w:val="26"/>
          <w:lang w:eastAsia="zh-CN"/>
        </w:rPr>
        <w:t>В отношении земельных участков и объектов капитального строительства, расположенных в пределах соответствующей территориальной зоны, настоящими Правилами установлены градостроительные регламенты, в которых указаны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2. Виды разрешенного использования земельных участков и объектов капитального строительства, 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статьях 17 - 24 главы 9 настоящих Правил.</w:t>
      </w:r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zh-CN"/>
        </w:rPr>
        <w:t>3.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Федерации, относящиеся ко всем территориальным зонам, приведены в статье 25 главы 9 настоящих Правил</w:t>
      </w:r>
      <w:r>
        <w:rPr>
          <w:color w:val="000000"/>
          <w:sz w:val="26"/>
          <w:szCs w:val="26"/>
        </w:rPr>
        <w:t>.</w:t>
      </w:r>
    </w:p>
    <w:p>
      <w:pPr>
        <w:ind w:firstLine="709"/>
        <w:jc w:val="both"/>
        <w:rPr>
          <w:color w:val="000000"/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11" w:name="_Toc73017549"/>
      <w:bookmarkStart w:id="12" w:name="_Toc76995044"/>
      <w:bookmarkStart w:id="13" w:name="_Toc80626671"/>
      <w:r>
        <w:rPr>
          <w:rFonts w:ascii="Times New Roman" w:hAnsi="Times New Roman" w:cs="Times New Roman"/>
        </w:rPr>
        <w:t>Статья 16. Общие требования к видам разрешенного использования земельных участков и объектов капитального строительства</w:t>
      </w:r>
      <w:bookmarkEnd w:id="11"/>
      <w:bookmarkEnd w:id="12"/>
      <w:bookmarkEnd w:id="13"/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 Градостроительные регламенты устанавливают следующие виды разрешенного использования земельных участков и объектов капитального строительства: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основные виды разрешенного использования;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условно разрешенные виды использования;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Градостроительные регламенты Правил включают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1) предельные (минимальные и (или) максимальные) размеры земельных участков;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предельное количество этажей или предельную высоту зданий, строений, сооружений;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Наряду с указанными в пунктах 2-4 части 2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Виды разрешенного использования земельных участков в настоящих правилах определены в соответствии с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 ноября 2020 года </w:t>
      </w:r>
      <w:r>
        <w:rPr>
          <w:color w:val="000000"/>
          <w:sz w:val="26"/>
          <w:szCs w:val="26"/>
        </w:rPr>
        <w:br/>
        <w:t xml:space="preserve">№ П/0412 «Об утверждении классификатора видов разрешенного использования земельных участков».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Основные, условно разрешенные и вспомогательные виды разрешенного использования земельных участков для всех территориальных зон приведены в таблице 1. При этом используются следующие обозначения:</w:t>
      </w:r>
    </w:p>
    <w:p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основные виды использования - О</w:t>
      </w:r>
    </w:p>
    <w:p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условно разрешенные виды использования - У</w:t>
      </w:r>
    </w:p>
    <w:p>
      <w:pPr>
        <w:numPr>
          <w:ilvl w:val="0"/>
          <w:numId w:val="14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вспомогательные виды разрешенного использования - В</w:t>
      </w:r>
    </w:p>
    <w:p>
      <w:pPr>
        <w:ind w:firstLine="709"/>
        <w:jc w:val="both"/>
        <w:rPr>
          <w:b/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Таблица 1</w:t>
      </w:r>
      <w:r>
        <w:rPr>
          <w:sz w:val="26"/>
          <w:szCs w:val="26"/>
        </w:rPr>
        <w:t>. Основные, условно разрешенные и вспомогательные виды разрешенного использования земельных участков и объектов капитального строительства для всех территориальных зон.</w:t>
      </w:r>
    </w:p>
    <w:p>
      <w:pPr>
        <w:ind w:firstLine="709"/>
        <w:jc w:val="both"/>
        <w:rPr>
          <w:b/>
          <w:sz w:val="26"/>
          <w:szCs w:val="26"/>
        </w:rPr>
      </w:pPr>
    </w:p>
    <w:tbl>
      <w:tblPr>
        <w:tblW w:w="50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8"/>
        <w:gridCol w:w="4057"/>
        <w:gridCol w:w="572"/>
        <w:gridCol w:w="850"/>
        <w:gridCol w:w="851"/>
        <w:gridCol w:w="567"/>
        <w:gridCol w:w="567"/>
        <w:gridCol w:w="425"/>
        <w:gridCol w:w="702"/>
        <w:gridCol w:w="12"/>
      </w:tblGrid>
      <w:tr>
        <w:trPr>
          <w:gridAfter w:val="1"/>
          <w:wAfter w:w="12" w:type="dxa"/>
          <w:tblHeader/>
          <w:jc w:val="center"/>
        </w:trPr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14" w:name="_Hlk38589914"/>
            <w:r>
              <w:rPr>
                <w:rFonts w:ascii="Times New Roman" w:hAnsi="Times New Roman" w:cs="Times New Roman"/>
                <w:b/>
                <w:bCs/>
              </w:rPr>
              <w:t>Код вида использования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Виды разрешенного использования земельных участков и объектов капитального строительства *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СХИ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СХН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Сельскохозяйственное использование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tabs>
                <w:tab w:val="left" w:pos="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Растениеводство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1.7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tabs>
                <w:tab w:val="left" w:pos="804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Животноводство</w:t>
            </w: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Рыбоводство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tabs>
                <w:tab w:val="left" w:pos="50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</w:p>
        </w:tc>
      </w:tr>
      <w:tr>
        <w:trPr>
          <w:gridAfter w:val="1"/>
          <w:wAfter w:w="12" w:type="dxa"/>
          <w:trHeight w:val="37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Жилая застройка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Блокированная жилая застройка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52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2.7.1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Хранение автотранспорта</w:t>
            </w:r>
            <w:r>
              <w:rPr>
                <w:color w:val="000000"/>
                <w:lang w:eastAsia="en-US"/>
              </w:rPr>
              <w:t>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524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after="0"/>
              <w:ind w:right="-106" w:hanging="183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-12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гаражей для собственных нужд ***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after="0"/>
              <w:ind w:left="-96" w:right="-10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strike/>
                <w:color w:val="00000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after="0"/>
              <w:ind w:right="75"/>
              <w:jc w:val="center"/>
              <w:rPr>
                <w:strike/>
                <w:color w:val="000000"/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Общественное использование объектов капитального строительства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Коммунальное обслуживание</w:t>
            </w: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Предоставление коммунальных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3.2</w:t>
            </w:r>
          </w:p>
        </w:tc>
        <w:tc>
          <w:tcPr>
            <w:tcW w:w="8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Социальное обслуживание</w:t>
            </w: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</w:rPr>
              <w:t>Дома социального обслуживания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Оказание социальной помощи населению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Оказание услуг связи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Общежития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jc w:val="center"/>
        </w:trPr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Бытовое обслуживание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3.4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Здравоохранение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Стационарное медицинское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Медицинские организации особого назначения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3.5</w:t>
            </w:r>
          </w:p>
        </w:tc>
        <w:tc>
          <w:tcPr>
            <w:tcW w:w="859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 и просвещение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3.6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Культурное развитие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Объекты культурно - досуговой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Парки культуры и отдыха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Цирки и зверинцы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3.7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Религиозное использование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Осуществление религиозных обрядов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Религиозное управление и образование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Общественное управление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Государственное управление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3.9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Обеспечение научной деятельности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Проведение научных исследований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3.9.3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Проведение научных испытаний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Ветеринарное обслуживание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Приюты для животных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85"/>
              </w:tabs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Предпринимательство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Деловое управление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Рынки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4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Магазины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3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Банковская и страховая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Общественное питание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29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Гостиничное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4.8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Развлечения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 xml:space="preserve">Развлекательные мероприятия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68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  <w:r>
              <w:rPr>
                <w:color w:val="000000"/>
                <w:lang w:eastAsia="en-US"/>
              </w:rPr>
              <w:t>****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trHeight w:val="43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</w:rPr>
              <w:t>Объекты дорожного сервиса</w:t>
            </w:r>
          </w:p>
        </w:tc>
      </w:tr>
      <w:tr>
        <w:trPr>
          <w:gridAfter w:val="1"/>
          <w:wAfter w:w="12" w:type="dxa"/>
          <w:trHeight w:val="43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Заправка транспортных средств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345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дорожного отдыха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Автомобильные мойки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4.9.1.4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Ремонт автомобилей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405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Выставочно-ярмарочная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Отдых (рекреация)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Площадки для занятий спортом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Оборудованные площадки для занятий спортом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Водный 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Авиационный 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Спортивные базы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Природно-познавательный туризм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Туристическое обслуживание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Охота и рыбалка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Причалы для маломерных судов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Поля для гольфа или конных прогулок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Производственная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</w:pPr>
            <w:r>
              <w:t>Недропользование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</w:pPr>
            <w:r>
              <w:rPr>
                <w:color w:val="000000"/>
              </w:rPr>
              <w:t>Тяжелая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Автомобилестроительная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Легкая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Фармацевтическая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trHeight w:val="406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Пищевая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Нефтехимическая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Строительная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Энергетика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Связь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Склады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Складские площадки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Целлюлозно-бумажная промышленность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Научно-производственная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lang w:eastAsia="en-US"/>
              </w:rPr>
              <w:t>Транспорт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7.1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Железнодорожный транспорт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Железнодорожные пути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trHeight w:val="697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7.2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4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Автомобильный транспорт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t>Размещение автомобильных дорог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Обслуживание перевозок пассажиров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7.2.3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Стоянки</w:t>
            </w:r>
          </w:p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транспорта общего пользования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Водный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/>
              </w:rPr>
              <w:t>Воздушный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Трубопроводный транспорт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обороны и безопасности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вооруженных сил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внутреннего правопорядка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по исполнению наказаний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eastAsia="Calibri"/>
                <w:bCs/>
                <w:color w:val="000000"/>
              </w:rPr>
              <w:t>Охрана природных территорий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Курортная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Санаторная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r>
              <w:t xml:space="preserve">Историко-культурная деятельность </w:t>
            </w:r>
            <w:r>
              <w:rPr>
                <w:color w:val="000000"/>
                <w:lang w:eastAsia="zh-CN"/>
              </w:rPr>
              <w:t>*****</w:t>
            </w: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</w:rPr>
              <w:t>Использование</w:t>
            </w:r>
            <w:r>
              <w:t xml:space="preserve"> </w:t>
            </w:r>
            <w:r>
              <w:rPr>
                <w:b/>
              </w:rPr>
              <w:t>лесов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древесины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Лесные плантации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леса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Водные объекты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t>Общее пользование водными объектами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</w:pPr>
            <w:r>
              <w:t>Специальное пользование водными объектами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Гидротехнические сооружения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</w:t>
            </w:r>
          </w:p>
        </w:tc>
        <w:tc>
          <w:tcPr>
            <w:tcW w:w="85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tabs>
                <w:tab w:val="left" w:pos="1155"/>
                <w:tab w:val="center" w:pos="4187"/>
              </w:tabs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Земельные участки (территории) общего пользования</w:t>
            </w:r>
          </w:p>
        </w:tc>
      </w:tr>
      <w:tr>
        <w:trPr>
          <w:gridAfter w:val="1"/>
          <w:wAfter w:w="12" w:type="dxa"/>
          <w:trHeight w:val="579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Улично-дорожная сеть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Благоустройство территории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Ритуальная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Специальная деятельность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Земельные участки общего назначения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strike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strike/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Ведение огородничества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>
        <w:trPr>
          <w:gridAfter w:val="1"/>
          <w:wAfter w:w="12" w:type="dxa"/>
          <w:jc w:val="center"/>
        </w:trPr>
        <w:tc>
          <w:tcPr>
            <w:tcW w:w="1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Ведение садоводства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jc w:val="center"/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s16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</w:tbl>
    <w:bookmarkEnd w:id="14"/>
    <w:p>
      <w:pPr>
        <w:ind w:firstLine="709"/>
        <w:jc w:val="both"/>
        <w:rPr>
          <w:rFonts w:eastAsia="Andale Sans UI"/>
          <w:color w:val="1C1C1C"/>
          <w:sz w:val="20"/>
        </w:rPr>
      </w:pPr>
      <w:r>
        <w:rPr>
          <w:color w:val="1C1C1C"/>
          <w:sz w:val="20"/>
        </w:rPr>
        <w:t xml:space="preserve">Примечание: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 Вспомогательный вид разрешенного использования с кодом 2.7.1, допустим только в качестве дополнительного по отношению к основным видам разрешенного использования с кодами 2.1.1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 xml:space="preserve">*****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****** Вид разрешенного использования с кодом 13.2 устанавливается в территориальной зоне Сельскохозяйственного назначения только для земельных участков, предоставленных садоводческому некоммерческому товариществу для ведения садоводства.</w:t>
      </w:r>
    </w:p>
    <w:p>
      <w:pPr>
        <w:tabs>
          <w:tab w:val="left" w:pos="7860"/>
        </w:tabs>
        <w:ind w:firstLine="1134"/>
        <w:jc w:val="both"/>
        <w:rPr>
          <w:sz w:val="20"/>
          <w:szCs w:val="20"/>
        </w:rPr>
      </w:pPr>
    </w:p>
    <w:p>
      <w:pPr>
        <w:ind w:firstLine="709"/>
        <w:jc w:val="both"/>
        <w:rPr>
          <w:b/>
          <w:sz w:val="26"/>
          <w:szCs w:val="26"/>
        </w:rPr>
      </w:pPr>
    </w:p>
    <w:p>
      <w:pPr>
        <w:pStyle w:val="2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5" w:name="_Toc80626672"/>
      <w:r>
        <w:rPr>
          <w:rFonts w:ascii="Times New Roman" w:hAnsi="Times New Roman" w:cs="Times New Roman"/>
          <w:sz w:val="26"/>
          <w:szCs w:val="26"/>
        </w:rPr>
        <w:t>ГЛАВА 9. ГРАДОСТРОИТЕЛЬНЫЙ РЕГЛАМЕНТ ТЕРРИТОРИАЛЬНЫХ ЗОН</w:t>
      </w:r>
      <w:bookmarkEnd w:id="15"/>
    </w:p>
    <w:p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>
      <w:pPr>
        <w:pStyle w:val="3"/>
        <w:jc w:val="both"/>
        <w:rPr>
          <w:rFonts w:ascii="Times New Roman" w:hAnsi="Times New Roman" w:cs="Times New Roman"/>
        </w:rPr>
      </w:pPr>
      <w:bookmarkStart w:id="16" w:name="_Toc80626673"/>
      <w:r>
        <w:rPr>
          <w:rFonts w:ascii="Times New Roman" w:hAnsi="Times New Roman" w:cs="Times New Roman"/>
        </w:rPr>
        <w:t>Статья 17. Жилая зона (Ж</w:t>
      </w:r>
      <w:bookmarkEnd w:id="16"/>
      <w:r>
        <w:rPr>
          <w:rFonts w:ascii="Times New Roman" w:hAnsi="Times New Roman" w:cs="Times New Roman"/>
        </w:rPr>
        <w:t>)</w:t>
      </w:r>
    </w:p>
    <w:p/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Зона предназначена для застройки жилыми домами, зданиями, сооружениями, для ведения садоводства, огородничества, а также для размещения необходимых для обслуживания жителей данной зоны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объектов административного, делового, общественного и коммерческого назначения, объектов торговли, предпринимательской деятельности, общественного питания, объектов здравоохранения, социального и коммунально-бытового назначения, культуры, образования, науки, объектов инженерной и транспортной инфраструктуры, иных объектов согласно градостроительным регламентам. </w:t>
      </w: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2.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жилой зоны (Ж).</w:t>
      </w:r>
    </w:p>
    <w:tbl>
      <w:tblPr>
        <w:tblStyle w:val="-2"/>
        <w:tblW w:w="0" w:type="auto"/>
        <w:tblLayout w:type="fixed"/>
        <w:tblLook w:val="0000" w:firstRow="0" w:lastRow="0" w:firstColumn="0" w:lastColumn="0" w:noHBand="0" w:noVBand="0"/>
      </w:tblPr>
      <w:tblGrid>
        <w:gridCol w:w="627"/>
        <w:gridCol w:w="7900"/>
        <w:gridCol w:w="989"/>
      </w:tblGrid>
      <w:tr>
        <w:trPr>
          <w:trHeight w:val="547"/>
        </w:trPr>
        <w:tc>
          <w:tcPr>
            <w:tcW w:w="567" w:type="dxa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№ п/п</w:t>
            </w:r>
          </w:p>
        </w:tc>
        <w:tc>
          <w:tcPr>
            <w:tcW w:w="7860" w:type="dxa"/>
            <w:shd w:val="pct12" w:color="auto" w:fill="auto"/>
          </w:tcPr>
          <w:p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b/>
                <w:color w:val="000000"/>
              </w:rPr>
              <w:t>**</w:t>
            </w:r>
          </w:p>
        </w:tc>
        <w:tc>
          <w:tcPr>
            <w:tcW w:w="929" w:type="dxa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Код</w:t>
            </w:r>
          </w:p>
        </w:tc>
      </w:tr>
      <w:tr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Основные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Для индивидуального жилищного строительства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Малоэтажная многоквартирная жилая застройка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2.1.1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Блокированная жилая застройка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2.3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Предоставление коммунальных услуг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color w:val="000000"/>
              </w:rPr>
              <w:t>Оказание социальной помощи населению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color w:val="000000"/>
              </w:rPr>
              <w:t>3.2.2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Оказание услуг связи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Общежития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3.2.4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Бытовое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Амбулаторно-поликлиническое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3.4.1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Стационарное медицинское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3.4.2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Дошкольное, начальное и среднее общее образование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3.5.1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Объекты культурно-досуговой деятельности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Парки культуры и отдыха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3.6.2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Государственное управление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3.8.1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860" w:type="dxa"/>
          </w:tcPr>
          <w:p>
            <w: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29" w:type="dxa"/>
          </w:tcPr>
          <w:p>
            <w:pPr>
              <w:jc w:val="center"/>
            </w:pPr>
            <w:r>
              <w:t>3.9.1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Амбулаторное ветеринарное обслуживание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3.10.1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Деловое управление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Банковская и страховая деятельность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4.5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Обеспечение занятий спортом в помещениях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5.1.2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60" w:type="dxa"/>
          </w:tcPr>
          <w:p>
            <w:pPr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Площадки для занятий спортом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5.1.3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Связь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6.8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60" w:type="dxa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Железнодорожные пути</w:t>
            </w:r>
          </w:p>
        </w:tc>
        <w:tc>
          <w:tcPr>
            <w:tcW w:w="929" w:type="dxa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Трубопроводный транспорт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</w:rPr>
              <w:t>9.0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Историко-культурная деятельность***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9.3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60" w:type="dxa"/>
          </w:tcPr>
          <w:p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12.0.1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</w:rPr>
              <w:t>Благоустройство территории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12.0.2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Земельные участки общего назначения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13.0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Ведение огородничества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13.1</w:t>
            </w:r>
          </w:p>
        </w:tc>
      </w:tr>
      <w:tr>
        <w:trPr>
          <w:trHeight w:val="340"/>
        </w:trPr>
        <w:tc>
          <w:tcPr>
            <w:tcW w:w="567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Ведение садоводства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13.2</w:t>
            </w:r>
          </w:p>
        </w:tc>
      </w:tr>
      <w:tr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Условно разрешенные виды использования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Дома социального обслуживания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3.2.1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Среднее и высшее профессиональное образование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3.5.2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35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Осуществление религиозных обрядов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3.7.1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36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Религиозное управление и образование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3.7.2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Приюты для животных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3.10.2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38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Рынки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4.3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39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Магазины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4.4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40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iCs/>
              </w:rPr>
              <w:t>Общественное</w:t>
            </w:r>
            <w:r>
              <w:rPr>
                <w:rFonts w:eastAsia="Calibri"/>
                <w:bCs/>
                <w:i/>
                <w:iCs/>
              </w:rPr>
              <w:t xml:space="preserve"> </w:t>
            </w:r>
            <w:r>
              <w:rPr>
                <w:rFonts w:eastAsia="Calibri"/>
                <w:bCs/>
                <w:iCs/>
              </w:rPr>
              <w:t>питание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4.6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Гостиничное обслуживание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4.7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Развлекательные мероприятия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4.8.1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43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Обеспечение дорожного отдыха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4.9.1.2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Выставочно-ярмарочная деятельность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4.10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45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Оборудованные площадки для занятий спортом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5.1.4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46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Обслуживание железнодорожных перевозок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7.1.2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Обслуживание перевозок пассажиров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7.2.2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48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Стоянки транспорта общего пользования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7.2.3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49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Обеспечение внутреннего правопорядка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8.3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50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Общее пользование водными объектами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51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Гидротехнические сооружения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11.3</w:t>
            </w:r>
          </w:p>
        </w:tc>
      </w:tr>
      <w:tr>
        <w:trPr>
          <w:trHeight w:val="340"/>
        </w:trPr>
        <w:tc>
          <w:tcPr>
            <w:tcW w:w="9436" w:type="dxa"/>
            <w:gridSpan w:val="3"/>
            <w:shd w:val="pct12" w:color="auto" w:fill="auto"/>
          </w:tcPr>
          <w:p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Вспомогательные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52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Хранение автотранспорта***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2.7.1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53</w:t>
            </w:r>
          </w:p>
        </w:tc>
        <w:tc>
          <w:tcPr>
            <w:tcW w:w="7860" w:type="dxa"/>
          </w:tcPr>
          <w:p>
            <w:r>
              <w:t>Размещение гаражей для собственных нужд ****</w:t>
            </w:r>
          </w:p>
        </w:tc>
        <w:tc>
          <w:tcPr>
            <w:tcW w:w="929" w:type="dxa"/>
          </w:tcPr>
          <w:p>
            <w:r>
              <w:t>2.7.2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54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Предоставление коммунальных услуг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3.1.1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55</w:t>
            </w:r>
          </w:p>
        </w:tc>
        <w:tc>
          <w:tcPr>
            <w:tcW w:w="7860" w:type="dxa"/>
          </w:tcPr>
          <w:p>
            <w:pPr>
              <w:contextualSpacing/>
            </w:pPr>
            <w:r>
              <w:rPr>
                <w:rFonts w:eastAsia="Calibri"/>
                <w:bCs/>
              </w:rPr>
              <w:t>Служебные гаражи*****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4.9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56</w:t>
            </w:r>
          </w:p>
        </w:tc>
        <w:tc>
          <w:tcPr>
            <w:tcW w:w="7860" w:type="dxa"/>
          </w:tcPr>
          <w:p>
            <w:pPr>
              <w:contextualSpacing/>
            </w:pPr>
            <w:r>
              <w:t>Улично-дорожная сеть</w:t>
            </w:r>
          </w:p>
        </w:tc>
        <w:tc>
          <w:tcPr>
            <w:tcW w:w="929" w:type="dxa"/>
          </w:tcPr>
          <w:p>
            <w:pPr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12.0.1</w:t>
            </w:r>
          </w:p>
        </w:tc>
      </w:tr>
      <w:tr>
        <w:trPr>
          <w:trHeight w:val="340"/>
        </w:trPr>
        <w:tc>
          <w:tcPr>
            <w:tcW w:w="567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</w:rPr>
              <w:t>57</w:t>
            </w:r>
          </w:p>
        </w:tc>
        <w:tc>
          <w:tcPr>
            <w:tcW w:w="7860" w:type="dxa"/>
          </w:tcPr>
          <w:p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Благоустройство территории</w:t>
            </w:r>
          </w:p>
        </w:tc>
        <w:tc>
          <w:tcPr>
            <w:tcW w:w="929" w:type="dxa"/>
          </w:tcPr>
          <w:p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color w:val="000000"/>
              </w:rPr>
              <w:t>12.0.2</w:t>
            </w:r>
          </w:p>
        </w:tc>
      </w:tr>
    </w:tbl>
    <w:p>
      <w:pPr>
        <w:ind w:firstLine="709"/>
        <w:jc w:val="both"/>
        <w:rPr>
          <w:color w:val="1C1C1C"/>
          <w:sz w:val="20"/>
        </w:rPr>
      </w:pPr>
      <w:r>
        <w:rPr>
          <w:color w:val="1C1C1C"/>
          <w:sz w:val="20"/>
        </w:rPr>
        <w:t xml:space="preserve">Примечание: 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rFonts w:eastAsia="SimSun"/>
          <w:sz w:val="20"/>
        </w:rPr>
      </w:pPr>
      <w:r>
        <w:rPr>
          <w:rFonts w:eastAsia="SimSun"/>
          <w:sz w:val="20"/>
        </w:rPr>
        <w:t xml:space="preserve">** </w:t>
      </w:r>
      <w:r>
        <w:rPr>
          <w:sz w:val="20"/>
        </w:rPr>
        <w:t>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</w:t>
      </w:r>
      <w:r>
        <w:rPr>
          <w:rFonts w:eastAsia="SimSun"/>
          <w:sz w:val="20"/>
        </w:rPr>
        <w:t xml:space="preserve">.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2.7.1, допустим только в качестве дополнительного по отношению к основным видам разрешенного использования с кодами 2.1.1 и осуществляем совместно с ними.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2.1, 2.2, 2.3, 13.2 и осуществляем совместно с ними.</w:t>
      </w:r>
    </w:p>
    <w:p>
      <w:pPr>
        <w:tabs>
          <w:tab w:val="left" w:pos="7860"/>
        </w:tabs>
        <w:autoSpaceDN w:val="0"/>
        <w:adjustRightInd w:val="0"/>
        <w:ind w:firstLine="709"/>
        <w:jc w:val="both"/>
        <w:rPr>
          <w:sz w:val="20"/>
        </w:rPr>
      </w:pPr>
      <w:r>
        <w:rPr>
          <w:sz w:val="20"/>
        </w:rPr>
        <w:t>*****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 Предельные (минимальные и (или) максимальные) размеры земельных участков, в том числе их площадь: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индивидуального жилищного строительства (код вида 2.1):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ведения садоводства, огородничества (коды видов 13.1, 13.2):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предоставляемых гражданам в собственность из земель, находящихся в государственной собственности или муниципальной собственности, либо из земель, государственная собственность на которые не разграничена на территории сельского поселения, в соответствии с решением Болховского районного Совета народных депутатов от 27 августа 2020 года № 237-рс: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индивидуального жилищного строительства: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минимальная площадь земельных участков – 0,05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ведения садоводства, огородничества, дачного хозяйства: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минимальная площадь земельных участков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для ведения личного подсобного хозяйства в границах населенных пунктов: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максимальная площадь земельных участков –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минимальная площадь земельных участков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для малоэтажного многоквартирного жилищного строительства (коды видов 2.1.1):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не ограничивается,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0,06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для индивидуального и блокированного жилищного строительства (коды видов 2.1, 2.3):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- 0,25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минимальный размер - 0,05 гектара; 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для ведения садоводства, огородничества (коды видов 13.1, 13.2):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0,25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0,01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для предоставления коммунальных услуг и для делового управления (коды видов 3.1., 3.1.2, 4.1):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0,5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не ограничивается;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bookmarkStart w:id="17" w:name="_Hlk77083304"/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для ведения личного подсобного хозяйства (приусадебный земельный участок) (код вида 2.2):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максимальный размер – 2,5 гектара,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минимальный размер – 0,08 гектара;</w:t>
      </w: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</w:p>
    <w:p>
      <w:pPr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8) Для всех прочих случаев и видов разрешенного использования земельных участков, кроме перечисленных в пункте 1-7 настоящей части, предельные (минимальные и (или) максимальные) размеры земельных участков, </w:t>
      </w:r>
      <w:r>
        <w:rPr>
          <w:color w:val="000000"/>
          <w:sz w:val="26"/>
          <w:szCs w:val="26"/>
        </w:rPr>
        <w:br/>
        <w:t>в том числе их площадь не ограничиваются;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bookmarkEnd w:id="17"/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>1) от границы земельного участка – 3 м;</w:t>
      </w:r>
    </w:p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 xml:space="preserve">2) от красной линии – 5 м; </w:t>
      </w:r>
    </w:p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 xml:space="preserve">3) от границы земельного участка, совпадающей с красной линией – 3 м; </w:t>
      </w:r>
    </w:p>
    <w:p>
      <w:pPr>
        <w:autoSpaceDN w:val="0"/>
        <w:ind w:firstLine="709"/>
        <w:rPr>
          <w:color w:val="000000"/>
          <w:szCs w:val="26"/>
        </w:rPr>
      </w:pPr>
      <w:r>
        <w:rPr>
          <w:color w:val="000000"/>
          <w:szCs w:val="26"/>
        </w:rPr>
        <w:t>4) без отступа от красной линии допускается размещать: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здания со встроенными в первые этажи или пристроенными помещениями общественного, делового, финансового назначения, торговли, кроме помещений учреждений образования и воспитания,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здания с квартирами в первых этажах при реконструкции сложившейся застройки,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жилые дома в условиях сложившейся застройки по согласованию с органами местного самоуправления;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5) допускается блокировка одноквартирных жилых домов, а также хозяйственных построек на смежных земельных участках по взаимному согласию домовладельцев с учетом противопожарных требований;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6)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7) для земельных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shd w:val="clear" w:color="auto" w:fill="FFFFFF"/>
        </w:rPr>
        <w:t>участков, предназначенных для размещения</w:t>
      </w:r>
      <w:r>
        <w:rPr>
          <w:sz w:val="26"/>
          <w:szCs w:val="26"/>
        </w:rPr>
        <w:t xml:space="preserve"> объектов капитального строительства инженерной и транспортной инфраструктуры с кодами вида использования 2.7.2, 3.1.1, 6.8, 7.1.1, 7.1.2, 7.2.2, 7.5, 11.3, 12.0.1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не ограничиваются;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жилых домов (коды 2.1, 2.2, 13.2) – 3 надземных этажа,</w:t>
      </w:r>
    </w:p>
    <w:p>
      <w:pPr>
        <w:pStyle w:val="aff2"/>
        <w:ind w:firstLine="709"/>
        <w:rPr>
          <w:sz w:val="26"/>
          <w:szCs w:val="26"/>
        </w:rPr>
      </w:pPr>
      <w:bookmarkStart w:id="18" w:name="_Hlk77083349"/>
      <w:r>
        <w:rPr>
          <w:sz w:val="26"/>
          <w:szCs w:val="26"/>
        </w:rPr>
        <w:t>- для малоэтажной многоквартирной жилой застройки (код 2.1.1) – 4 этажа, включая мансардный,</w:t>
      </w:r>
    </w:p>
    <w:bookmarkEnd w:id="18"/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блокированной жилой застройки (код 2.3) – 3 этажа,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для всех прочих зданий, строений, сооружений, размещаемых в границах данной территориальной зоны, и не указанных в настоящей части, предельное количество этажей не ограничивается.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жилого назначения не ограничивается;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нежилого назначения – 30 м;</w:t>
      </w:r>
    </w:p>
    <w:p>
      <w:pPr>
        <w:pStyle w:val="aff2"/>
        <w:ind w:firstLine="709"/>
        <w:rPr>
          <w:color w:val="000000"/>
          <w:sz w:val="26"/>
          <w:szCs w:val="26"/>
        </w:rPr>
      </w:pPr>
      <w:r>
        <w:rPr>
          <w:sz w:val="26"/>
          <w:szCs w:val="26"/>
          <w:shd w:val="clear" w:color="auto" w:fill="FFFFFF"/>
        </w:rPr>
        <w:t>3)</w:t>
      </w:r>
      <w:r>
        <w:rPr>
          <w:sz w:val="26"/>
          <w:szCs w:val="26"/>
        </w:rPr>
        <w:t xml:space="preserve"> для объектов капитального строительства инженерной и транспортной</w:t>
      </w:r>
      <w:r>
        <w:rPr>
          <w:color w:val="000000"/>
          <w:sz w:val="26"/>
          <w:szCs w:val="26"/>
        </w:rPr>
        <w:t xml:space="preserve"> инфраструктур с кодами вида </w:t>
      </w:r>
      <w:r>
        <w:rPr>
          <w:sz w:val="26"/>
          <w:szCs w:val="26"/>
        </w:rPr>
        <w:t>использования 2.7.2, 3.1.1, 6.8, 7.1.1, 7.1.2, 7.2.2, 7.5, 11.3, 12.0.1 предельная высота зданий</w:t>
      </w:r>
      <w:r>
        <w:rPr>
          <w:color w:val="000000"/>
          <w:sz w:val="26"/>
          <w:szCs w:val="26"/>
        </w:rPr>
        <w:t>, строений, сооружений, размещаемых на территории земельного участка, не ограничиваются.</w:t>
      </w:r>
    </w:p>
    <w:p>
      <w:pPr>
        <w:pStyle w:val="aff2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3.</w:t>
      </w:r>
    </w:p>
    <w:p>
      <w:pPr>
        <w:pStyle w:val="aff2"/>
        <w:ind w:firstLine="709"/>
        <w:rPr>
          <w:color w:val="000000"/>
          <w:sz w:val="26"/>
          <w:szCs w:val="26"/>
        </w:rPr>
      </w:pPr>
    </w:p>
    <w:p>
      <w:pPr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 xml:space="preserve">Таблица 3. </w:t>
      </w:r>
      <w:r>
        <w:rPr>
          <w:sz w:val="26"/>
          <w:szCs w:val="26"/>
        </w:rPr>
        <w:t>Максимальный процент застройки в границах земельного участка, расположенного</w:t>
      </w:r>
      <w:r>
        <w:rPr>
          <w:rFonts w:eastAsia="Liberation Serif"/>
          <w:sz w:val="26"/>
          <w:szCs w:val="26"/>
        </w:rPr>
        <w:t xml:space="preserve"> в территориальной жилой зоне.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8"/>
        <w:gridCol w:w="3367"/>
      </w:tblGrid>
      <w:tr>
        <w:trPr>
          <w:trHeight w:val="492"/>
          <w:tblHeader/>
          <w:jc w:val="center"/>
        </w:trPr>
        <w:tc>
          <w:tcPr>
            <w:tcW w:w="534" w:type="dxa"/>
            <w:shd w:val="pct12" w:color="auto" w:fill="auto"/>
            <w:vAlign w:val="center"/>
          </w:tcPr>
          <w:p>
            <w:pPr>
              <w:rPr>
                <w:rFonts w:eastAsia="Calibri"/>
              </w:rPr>
            </w:pPr>
            <w:bookmarkStart w:id="19" w:name="_Hlk77083523"/>
            <w:r>
              <w:rPr>
                <w:rFonts w:eastAsia="Calibri"/>
              </w:rPr>
              <w:t>№</w:t>
            </w:r>
          </w:p>
        </w:tc>
        <w:tc>
          <w:tcPr>
            <w:tcW w:w="5388" w:type="dxa"/>
            <w:shd w:val="pct12" w:color="auto" w:fill="auto"/>
            <w:vAlign w:val="center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Вид разрешенного использования земельного участка</w:t>
            </w:r>
          </w:p>
        </w:tc>
        <w:tc>
          <w:tcPr>
            <w:tcW w:w="3367" w:type="dxa"/>
            <w:shd w:val="pct12" w:color="auto" w:fill="auto"/>
            <w:vAlign w:val="center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Максимальный процент застройки в границах земельного участка</w:t>
            </w:r>
          </w:p>
        </w:tc>
      </w:tr>
      <w:tr>
        <w:trPr>
          <w:trHeight w:val="51"/>
          <w:jc w:val="center"/>
        </w:trPr>
        <w:tc>
          <w:tcPr>
            <w:tcW w:w="534" w:type="dxa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8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336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40%</w:t>
            </w:r>
          </w:p>
        </w:tc>
      </w:tr>
      <w:tr>
        <w:trPr>
          <w:trHeight w:val="51"/>
          <w:jc w:val="center"/>
        </w:trPr>
        <w:tc>
          <w:tcPr>
            <w:tcW w:w="534" w:type="dxa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88" w:type="dxa"/>
            <w:shd w:val="clear" w:color="auto" w:fill="auto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Ведение садоводства (13.2) </w:t>
            </w:r>
          </w:p>
        </w:tc>
        <w:tc>
          <w:tcPr>
            <w:tcW w:w="336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25%</w:t>
            </w:r>
          </w:p>
        </w:tc>
      </w:tr>
      <w:tr>
        <w:trPr>
          <w:trHeight w:val="51"/>
          <w:jc w:val="center"/>
        </w:trPr>
        <w:tc>
          <w:tcPr>
            <w:tcW w:w="534" w:type="dxa"/>
            <w:shd w:val="clear" w:color="auto" w:fill="FFFFFF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88" w:type="dxa"/>
            <w:shd w:val="clear" w:color="auto" w:fill="FFFFFF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Для индивидуального жилищного строительства (код 2.1)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Блокированная жилая застройка (код 2.3)</w:t>
            </w:r>
          </w:p>
        </w:tc>
        <w:tc>
          <w:tcPr>
            <w:tcW w:w="3367" w:type="dxa"/>
            <w:shd w:val="clear" w:color="auto" w:fill="FFFFFF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50%</w:t>
            </w:r>
          </w:p>
        </w:tc>
      </w:tr>
      <w:tr>
        <w:trPr>
          <w:jc w:val="center"/>
        </w:trPr>
        <w:tc>
          <w:tcPr>
            <w:tcW w:w="534" w:type="dxa"/>
            <w:shd w:val="clear" w:color="auto" w:fill="FFFFFF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88" w:type="dxa"/>
            <w:shd w:val="clear" w:color="auto" w:fill="FFFFFF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Малоэтажная многоквартирная жилая застройка (код 2.1.1)</w:t>
            </w:r>
          </w:p>
        </w:tc>
        <w:tc>
          <w:tcPr>
            <w:tcW w:w="3367" w:type="dxa"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40% - при этажности 1-2 этажа;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37% - при этажности 3 этажа</w:t>
            </w:r>
          </w:p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36% - при этажности 4 этажа</w:t>
            </w:r>
          </w:p>
        </w:tc>
      </w:tr>
      <w:tr>
        <w:trPr>
          <w:jc w:val="center"/>
        </w:trPr>
        <w:tc>
          <w:tcPr>
            <w:tcW w:w="534" w:type="dxa"/>
            <w:shd w:val="clear" w:color="auto" w:fill="FFFFFF"/>
          </w:tcPr>
          <w:p>
            <w:pPr>
              <w:ind w:right="-90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5388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нежилых объектов</w:t>
            </w:r>
          </w:p>
        </w:tc>
        <w:tc>
          <w:tcPr>
            <w:tcW w:w="3367" w:type="dxa"/>
          </w:tcPr>
          <w:p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>
        <w:trPr>
          <w:jc w:val="center"/>
        </w:trPr>
        <w:tc>
          <w:tcPr>
            <w:tcW w:w="534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388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7.2.2, 7.5, 11.3, 12.0.1</w:t>
            </w:r>
          </w:p>
        </w:tc>
        <w:tc>
          <w:tcPr>
            <w:tcW w:w="3367" w:type="dxa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ограничивается</w:t>
            </w:r>
          </w:p>
        </w:tc>
      </w:tr>
      <w:bookmarkEnd w:id="19"/>
    </w:tbl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 Минимальные показатели благоустройства земельного участка для многоквартирного жилого дома приведены в Таблице 4.</w:t>
      </w:r>
    </w:p>
    <w:p>
      <w:pPr>
        <w:ind w:firstLine="709"/>
        <w:jc w:val="both"/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Таблица 4. Минимальные показатели благоустройства земельного участка для многоквартирного жилого дома.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72"/>
        <w:gridCol w:w="1701"/>
        <w:gridCol w:w="1508"/>
      </w:tblGrid>
      <w:tr>
        <w:trPr>
          <w:trHeight w:val="240"/>
          <w:tblHeader/>
          <w:jc w:val="center"/>
        </w:trPr>
        <w:tc>
          <w:tcPr>
            <w:tcW w:w="6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left="22" w:firstLine="22"/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Элементы благоустройства территории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left="58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Удельные размеры</w:t>
            </w:r>
          </w:p>
        </w:tc>
      </w:tr>
      <w:tr>
        <w:trPr>
          <w:trHeight w:val="253"/>
          <w:tblHeader/>
          <w:jc w:val="center"/>
        </w:trPr>
        <w:tc>
          <w:tcPr>
            <w:tcW w:w="6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left="22" w:firstLine="22"/>
              <w:rPr>
                <w:rFonts w:eastAsia="NSimSun"/>
                <w:b/>
                <w:kern w:val="2"/>
                <w:lang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ind w:firstLine="58"/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Расчетная единица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>
            <w:pPr>
              <w:jc w:val="center"/>
              <w:rPr>
                <w:rFonts w:eastAsia="Liberation Serif"/>
                <w:b/>
                <w:kern w:val="2"/>
                <w:lang w:bidi="hi-IN"/>
              </w:rPr>
            </w:pPr>
            <w:r>
              <w:rPr>
                <w:rFonts w:eastAsia="Liberation Serif"/>
                <w:b/>
                <w:kern w:val="2"/>
                <w:lang w:bidi="hi-IN"/>
              </w:rPr>
              <w:t>Значение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игр детей дошкольного и младшего</w:t>
            </w:r>
          </w:p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0,7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отдыха взрослого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0,1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занятий физкультурой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2,0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Для хозяйственных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0,3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Площадь озеленения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кв.м/чел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3,0</w:t>
            </w:r>
          </w:p>
        </w:tc>
      </w:tr>
      <w:tr>
        <w:trPr>
          <w:trHeight w:val="240"/>
          <w:jc w:val="center"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22" w:firstLine="22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Гостевые автомобильные стоянки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на 1 квартиру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eastAsia="Liberation Serif"/>
                <w:kern w:val="2"/>
                <w:lang w:bidi="hi-IN"/>
              </w:rPr>
            </w:pPr>
            <w:r>
              <w:rPr>
                <w:rFonts w:eastAsia="Liberation Serif"/>
                <w:kern w:val="2"/>
                <w:lang w:bidi="hi-IN"/>
              </w:rPr>
              <w:t>0,35</w:t>
            </w:r>
          </w:p>
        </w:tc>
      </w:tr>
    </w:tbl>
    <w:p>
      <w:pPr>
        <w:rPr>
          <w:rFonts w:eastAsia="NSimSun"/>
          <w:kern w:val="2"/>
          <w:szCs w:val="26"/>
          <w:lang w:bidi="hi-IN"/>
        </w:rPr>
      </w:pPr>
    </w:p>
    <w:p>
      <w:pPr>
        <w:pStyle w:val="3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</w:rPr>
      </w:pPr>
      <w:bookmarkStart w:id="20" w:name="_Toc80626674"/>
      <w:r>
        <w:rPr>
          <w:rFonts w:ascii="Times New Roman" w:eastAsia="Times New Roman" w:hAnsi="Times New Roman" w:cs="Times New Roman"/>
          <w:b w:val="0"/>
          <w:bCs w:val="0"/>
          <w:color w:val="000000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>
      <w:r>
        <w:t xml:space="preserve">       4. Требования к архитектурно-градостроительному облику объекта капитального строительства не подлежат установлению.</w:t>
      </w: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1" w:name="_Toc80626675"/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Статья 18. Производственная зона, зона инженерной и транспортной инфраструктур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color w:val="000000"/>
        </w:rPr>
        <w:t>I-V</w:t>
      </w:r>
      <w:r>
        <w:rPr>
          <w:rFonts w:ascii="Times New Roman" w:hAnsi="Times New Roman" w:cs="Times New Roman"/>
          <w:bCs w:val="0"/>
        </w:rPr>
        <w:t xml:space="preserve"> классов опасности (П1</w:t>
      </w:r>
      <w:bookmarkEnd w:id="21"/>
      <w:r>
        <w:rPr>
          <w:rFonts w:ascii="Times New Roman" w:hAnsi="Times New Roman" w:cs="Times New Roman"/>
          <w:bCs w:val="0"/>
        </w:rPr>
        <w:t>).</w:t>
      </w:r>
    </w:p>
    <w:p>
      <w:pPr>
        <w:rPr>
          <w:lang w:eastAsia="zh-CN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Зона предназначена для размещения объектов I-V классов опасности производственного, коммунального и складского назначения с санитарно-защитными зонами от 1000 до 50 м соответственно, за границами населенного пункта, объектов инженерной и транспортной инфраструктуры, иных объектов согласно градостроительным регламентам.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>Таблица 5.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производственной зоны, зоны инженерной и транспортной инфраструктур I-V классов опасности (П1).</w:t>
      </w:r>
    </w:p>
    <w:tbl>
      <w:tblPr>
        <w:tblStyle w:val="-2"/>
        <w:tblW w:w="9320" w:type="dxa"/>
        <w:tblLayout w:type="fixed"/>
        <w:tblLook w:val="0000" w:firstRow="0" w:lastRow="0" w:firstColumn="0" w:lastColumn="0" w:noHBand="0" w:noVBand="0"/>
      </w:tblPr>
      <w:tblGrid>
        <w:gridCol w:w="872"/>
        <w:gridCol w:w="7371"/>
        <w:gridCol w:w="1077"/>
      </w:tblGrid>
      <w:tr>
        <w:trPr>
          <w:trHeight w:val="547"/>
        </w:trPr>
        <w:tc>
          <w:tcPr>
            <w:tcW w:w="812" w:type="dxa"/>
            <w:shd w:val="pct12" w:color="auto" w:fill="auto"/>
          </w:tcPr>
          <w:p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  <w:r>
              <w:rPr>
                <w:rFonts w:eastAsia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7331" w:type="dxa"/>
            <w:shd w:val="pct12" w:color="auto" w:fill="auto"/>
          </w:tcPr>
          <w:p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1017" w:type="dxa"/>
            <w:shd w:val="pct12" w:color="auto" w:fill="auto"/>
          </w:tcPr>
          <w:p>
            <w:pPr>
              <w:pStyle w:val="aff3"/>
              <w:jc w:val="center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Код</w:t>
            </w:r>
          </w:p>
        </w:tc>
      </w:tr>
      <w:tr>
        <w:trPr>
          <w:trHeight w:val="331"/>
        </w:trPr>
        <w:tc>
          <w:tcPr>
            <w:tcW w:w="9240" w:type="dxa"/>
            <w:gridSpan w:val="3"/>
            <w:shd w:val="pct12" w:color="auto" w:fill="auto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Автомобильные мойки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автомобилей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4.9.1.4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Недропользование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Тяжелая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31" w:type="dxa"/>
          </w:tcPr>
          <w:p>
            <w:pPr>
              <w:tabs>
                <w:tab w:val="left" w:pos="1891"/>
              </w:tabs>
              <w:spacing w:line="256" w:lineRule="auto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</w:rPr>
              <w:t>Складские площадки</w:t>
            </w:r>
          </w:p>
        </w:tc>
        <w:tc>
          <w:tcPr>
            <w:tcW w:w="1017" w:type="dxa"/>
          </w:tcPr>
          <w:p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6.9.1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trike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57"/>
        </w:trPr>
        <w:tc>
          <w:tcPr>
            <w:tcW w:w="812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31" w:type="dxa"/>
            <w:vAlign w:val="center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017" w:type="dxa"/>
            <w:vAlign w:val="center"/>
          </w:tcPr>
          <w:p>
            <w:pPr>
              <w:pStyle w:val="aff3"/>
              <w:widowControl w:val="0"/>
              <w:ind w:left="-120" w:right="-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57"/>
        </w:trPr>
        <w:tc>
          <w:tcPr>
            <w:tcW w:w="924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разрешение виды использования</w:t>
            </w:r>
          </w:p>
        </w:tc>
      </w:tr>
      <w:tr>
        <w:trPr>
          <w:trHeight w:val="357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12.2</w:t>
            </w:r>
          </w:p>
        </w:tc>
      </w:tr>
      <w:tr>
        <w:trPr>
          <w:trHeight w:val="331"/>
        </w:trPr>
        <w:tc>
          <w:tcPr>
            <w:tcW w:w="9240" w:type="dxa"/>
            <w:gridSpan w:val="3"/>
            <w:shd w:val="pct12" w:color="auto" w:fill="auto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***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812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331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01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</w:tbl>
    <w:p>
      <w:pPr>
        <w:ind w:firstLine="709"/>
        <w:jc w:val="both"/>
        <w:rPr>
          <w:sz w:val="20"/>
        </w:rPr>
      </w:pPr>
      <w:r>
        <w:rPr>
          <w:sz w:val="20"/>
        </w:rPr>
        <w:t xml:space="preserve">Примечание: 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>
      <w:pPr>
        <w:ind w:firstLine="709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от границы земельного участка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7.1.2, 7.2.1, 7.2.2, 7.5, 11.3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>
      <w:pPr>
        <w:pStyle w:val="ConsPlusNormal"/>
        <w:shd w:val="clear" w:color="auto" w:fill="FFFFFF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4.Требования к архитектурно-градостроительному облику объекта капитального строительства не подлежат установлению.</w:t>
      </w:r>
    </w:p>
    <w:p/>
    <w:p/>
    <w:p>
      <w:pPr>
        <w:pStyle w:val="3"/>
        <w:spacing w:before="0" w:after="0" w:line="276" w:lineRule="auto"/>
        <w:ind w:firstLine="709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>Статья 19. Производственная зона, зона инженерной и транспортной инфраструктур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  <w:lang w:val="en-US"/>
        </w:rPr>
        <w:t>III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  <w:lang w:val="en-US"/>
        </w:rPr>
        <w:t>V</w:t>
      </w:r>
      <w:r>
        <w:rPr>
          <w:rFonts w:ascii="Times New Roman" w:hAnsi="Times New Roman" w:cs="Times New Roman"/>
          <w:bCs w:val="0"/>
        </w:rPr>
        <w:t xml:space="preserve"> классов опасности (П2</w:t>
      </w:r>
      <w:bookmarkEnd w:id="20"/>
      <w:r>
        <w:rPr>
          <w:rFonts w:ascii="Times New Roman" w:hAnsi="Times New Roman" w:cs="Times New Roman"/>
          <w:bCs w:val="0"/>
        </w:rPr>
        <w:t>).</w:t>
      </w:r>
    </w:p>
    <w:p>
      <w:pPr>
        <w:ind w:firstLine="709"/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 Зона предназначена для размещения объектов III-V классов опасности производственного, коммунального и складского назначения с санитарно-защитными зонами от 300 до 50 м соответственно, в границах населенного пункта, объектов инженерной и транспортной инфраструктуры, иных объектов согласно градостроительным регламентам.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ind w:firstLine="709"/>
        <w:jc w:val="both"/>
        <w:rPr>
          <w:sz w:val="26"/>
          <w:szCs w:val="26"/>
          <w:lang w:eastAsia="zh-CN"/>
        </w:rPr>
      </w:pPr>
      <w:r>
        <w:rPr>
          <w:color w:val="000000"/>
          <w:sz w:val="26"/>
          <w:szCs w:val="26"/>
        </w:rPr>
        <w:t>Таблица 6.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производственной зоны, зоны инженерной и транспортной инфраструктур III -V классов опасности (П2).</w:t>
      </w:r>
    </w:p>
    <w:tbl>
      <w:tblPr>
        <w:tblStyle w:val="-2"/>
        <w:tblW w:w="9300" w:type="dxa"/>
        <w:tblLayout w:type="fixed"/>
        <w:tblLook w:val="0000" w:firstRow="0" w:lastRow="0" w:firstColumn="0" w:lastColumn="0" w:noHBand="0" w:noVBand="0"/>
      </w:tblPr>
      <w:tblGrid>
        <w:gridCol w:w="590"/>
        <w:gridCol w:w="7653"/>
        <w:gridCol w:w="1057"/>
      </w:tblGrid>
      <w:tr>
        <w:trPr>
          <w:trHeight w:val="547"/>
        </w:trPr>
        <w:tc>
          <w:tcPr>
            <w:tcW w:w="530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13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97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услуг связи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Бытовое обслуживание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Рынки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Автомобильные мойки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автомобилей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4.9.1.4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Производственная деятельность 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6.0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Энергетика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Связь 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Условно разрешенные виды использования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Приюты для животных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8.0</w:t>
            </w:r>
          </w:p>
        </w:tc>
      </w:tr>
      <w:tr>
        <w:trPr>
          <w:trHeight w:val="340"/>
        </w:trPr>
        <w:tc>
          <w:tcPr>
            <w:tcW w:w="922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Вспомогательные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Служебные гаражи***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7.2.3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30" w:type="dxa"/>
            <w:vAlign w:val="center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7613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97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Примечание: 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</w:t>
      </w:r>
    </w:p>
    <w:p>
      <w:pPr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и условно разрешенным видам использования с кодами 3.1-3.10.2, 4.1-4.10 и осуществляем совместно с ними.</w:t>
      </w:r>
    </w:p>
    <w:p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 от границы земельного участка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от красной линии – 5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 от границы земельного участка, совпадающей с красной линией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7.1.2, 7.2.1, 7.2.2,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4.Требования к архитектурно-градостроительному облику объекта капитального строительства не подлежат установлению.</w:t>
      </w:r>
    </w:p>
    <w:p>
      <w:pPr>
        <w:ind w:firstLine="709"/>
        <w:jc w:val="both"/>
        <w:rPr>
          <w:sz w:val="26"/>
          <w:szCs w:val="26"/>
        </w:rPr>
      </w:pPr>
    </w:p>
    <w:p>
      <w:pPr>
        <w:tabs>
          <w:tab w:val="left" w:pos="1605"/>
        </w:tabs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2" w:name="_Toc80626676"/>
      <w:r>
        <w:rPr>
          <w:rFonts w:ascii="Times New Roman" w:hAnsi="Times New Roman" w:cs="Times New Roman"/>
        </w:rPr>
        <w:t>Статья 20. Зона сельскохозяйственного использования (СХИ</w:t>
      </w:r>
      <w:bookmarkEnd w:id="22"/>
      <w:r>
        <w:rPr>
          <w:rFonts w:ascii="Times New Roman" w:hAnsi="Times New Roman" w:cs="Times New Roman"/>
        </w:rPr>
        <w:t>)</w:t>
      </w:r>
    </w:p>
    <w:p>
      <w:pPr>
        <w:rPr>
          <w:sz w:val="26"/>
          <w:szCs w:val="26"/>
        </w:rPr>
      </w:pPr>
    </w:p>
    <w:p>
      <w:pPr>
        <w:ind w:firstLine="709"/>
        <w:jc w:val="both"/>
        <w:rPr>
          <w:sz w:val="26"/>
          <w:szCs w:val="26"/>
        </w:rPr>
      </w:pPr>
      <w:bookmarkStart w:id="23" w:name="_Hlk76630895"/>
      <w:r>
        <w:rPr>
          <w:sz w:val="26"/>
          <w:szCs w:val="26"/>
        </w:rPr>
        <w:t>1. Зона предназначена для ведения в границах населенного пункта садоводства, огородничества, личного подсобного хозяйства, индивидуального жилищного строительства, размещения объектов сельского хозяйства, а также для размещения объектов инженерной и транспортной инфраструктуры, иных объектов согласно градостроительным регламентам.</w:t>
      </w:r>
    </w:p>
    <w:p>
      <w:pPr>
        <w:ind w:firstLine="709"/>
        <w:jc w:val="both"/>
        <w:rPr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  <w:shd w:val="clear" w:color="auto" w:fill="FFFFFF"/>
        </w:rPr>
      </w:pPr>
      <w:r>
        <w:rPr>
          <w:rFonts w:eastAsia="Liberation Serif"/>
          <w:sz w:val="26"/>
          <w:szCs w:val="26"/>
        </w:rPr>
        <w:t>Таблица 7.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</w:t>
      </w:r>
      <w:r>
        <w:rPr>
          <w:rFonts w:eastAsia="Liberation Serif"/>
          <w:sz w:val="26"/>
          <w:szCs w:val="26"/>
          <w:shd w:val="clear" w:color="auto" w:fill="FFFFFF"/>
        </w:rPr>
        <w:t>ерриториальной зоны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rFonts w:eastAsia="Liberation Serif"/>
          <w:sz w:val="26"/>
          <w:szCs w:val="26"/>
          <w:shd w:val="clear" w:color="auto" w:fill="FFFFFF"/>
        </w:rPr>
        <w:t>сельскохозяйственного использования (СХИ).</w:t>
      </w:r>
    </w:p>
    <w:tbl>
      <w:tblPr>
        <w:tblStyle w:val="-2"/>
        <w:tblW w:w="9439" w:type="dxa"/>
        <w:tblLayout w:type="fixed"/>
        <w:tblLook w:val="0000" w:firstRow="0" w:lastRow="0" w:firstColumn="0" w:lastColumn="0" w:noHBand="0" w:noVBand="0"/>
      </w:tblPr>
      <w:tblGrid>
        <w:gridCol w:w="568"/>
        <w:gridCol w:w="7832"/>
        <w:gridCol w:w="1039"/>
      </w:tblGrid>
      <w:tr>
        <w:trPr>
          <w:trHeight w:val="547"/>
        </w:trPr>
        <w:tc>
          <w:tcPr>
            <w:tcW w:w="508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bookmarkStart w:id="24" w:name="_Hlk77167381"/>
            <w:bookmarkEnd w:id="23"/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2" w:type="dxa"/>
            <w:shd w:val="pct12" w:color="auto" w:fill="auto"/>
          </w:tcPr>
          <w:p>
            <w:pPr>
              <w:pStyle w:val="aff3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 **</w:t>
            </w:r>
          </w:p>
        </w:tc>
        <w:tc>
          <w:tcPr>
            <w:tcW w:w="979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92" w:type="dxa"/>
          </w:tcPr>
          <w:p>
            <w:pPr>
              <w:pStyle w:val="af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2" w:type="dxa"/>
          </w:tcPr>
          <w:p>
            <w:pPr>
              <w:pStyle w:val="aff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1.19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Приюты для животных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3.10.2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деятельность***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</w:t>
            </w:r>
          </w:p>
        </w:tc>
      </w:tr>
      <w:tr>
        <w:trPr>
          <w:trHeight w:val="412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садоводства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</w:t>
            </w:r>
          </w:p>
        </w:tc>
      </w:tr>
      <w:tr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1.18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1.20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92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Магазины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31"/>
        </w:trPr>
        <w:tc>
          <w:tcPr>
            <w:tcW w:w="935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b/>
                <w:bCs w:val="0"/>
                <w:color w:val="000000"/>
                <w:sz w:val="24"/>
                <w:szCs w:val="24"/>
              </w:rPr>
            </w:pPr>
            <w:r>
              <w:rPr>
                <w:b/>
                <w:bCs w:val="0"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гаражей для собственных нужд ***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2.7.2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31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9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Примечание: </w:t>
      </w:r>
    </w:p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pStyle w:val="17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color w:val="000000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2.2, 13.2 и осуществляем совместно с ними.</w:t>
      </w:r>
    </w:p>
    <w:bookmarkEnd w:id="24"/>
    <w:p>
      <w:pPr>
        <w:rPr>
          <w:szCs w:val="26"/>
        </w:rPr>
      </w:pPr>
      <w:r>
        <w:rPr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rPr>
          <w:szCs w:val="26"/>
        </w:rPr>
      </w:pPr>
      <w:r>
        <w:rPr>
          <w:szCs w:val="26"/>
        </w:rPr>
        <w:t>2.1. Предельные (минимальные и (или) максимальные) размеры земельных участков, в том числе их площадь:</w:t>
      </w:r>
    </w:p>
    <w:p>
      <w:pPr>
        <w:rPr>
          <w:szCs w:val="26"/>
        </w:rPr>
      </w:pPr>
      <w:r>
        <w:rPr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для ведения садоводства, огородничества:</w:t>
      </w:r>
    </w:p>
    <w:p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а) максимальный размер – 0,25 гектара,</w:t>
      </w:r>
    </w:p>
    <w:p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б) минимальный размер – 0,01 гектара;</w:t>
      </w:r>
    </w:p>
    <w:p>
      <w:pPr>
        <w:autoSpaceDN w:val="0"/>
        <w:ind w:firstLine="993"/>
        <w:rPr>
          <w:color w:val="000000"/>
          <w:szCs w:val="26"/>
        </w:rPr>
      </w:pPr>
    </w:p>
    <w:p>
      <w:pPr>
        <w:autoSpaceDN w:val="0"/>
        <w:rPr>
          <w:color w:val="000000"/>
          <w:szCs w:val="26"/>
        </w:rPr>
      </w:pPr>
      <w:r>
        <w:rPr>
          <w:color w:val="000000"/>
          <w:szCs w:val="26"/>
        </w:rPr>
        <w:t>2) предоставляемых гражданам в собственность из земель, находящихся в государственной собственности или муниципальной собственности, либо из земель, государственная собственность на которые не разграничена на территории сельского поселения, в соответствии с решением Болховского районного Совета народных депутатов от 27 августа 2020 года № 237-рс для ведения садоводства, огородничества, дачного хозяйства:</w:t>
      </w:r>
    </w:p>
    <w:p>
      <w:pPr>
        <w:autoSpaceDN w:val="0"/>
        <w:ind w:left="993"/>
        <w:rPr>
          <w:color w:val="000000"/>
          <w:szCs w:val="26"/>
        </w:rPr>
      </w:pPr>
      <w:r>
        <w:rPr>
          <w:color w:val="000000"/>
          <w:szCs w:val="26"/>
        </w:rPr>
        <w:t>а) максимальная площадь – 0,25 гектара;</w:t>
      </w:r>
    </w:p>
    <w:p>
      <w:pPr>
        <w:autoSpaceDN w:val="0"/>
        <w:ind w:left="993"/>
        <w:rPr>
          <w:color w:val="000000"/>
          <w:szCs w:val="26"/>
        </w:rPr>
      </w:pPr>
      <w:r>
        <w:rPr>
          <w:color w:val="000000"/>
          <w:szCs w:val="26"/>
        </w:rPr>
        <w:t>б) минимальная площадь – 0,01 гектара;</w:t>
      </w:r>
    </w:p>
    <w:p>
      <w:pPr>
        <w:autoSpaceDN w:val="0"/>
        <w:ind w:left="993"/>
        <w:rPr>
          <w:color w:val="000000"/>
          <w:szCs w:val="26"/>
        </w:rPr>
      </w:pPr>
    </w:p>
    <w:p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3) для ведения садоводства, огородничества:</w:t>
      </w:r>
    </w:p>
    <w:p>
      <w:pPr>
        <w:autoSpaceDN w:val="0"/>
        <w:ind w:firstLine="993"/>
        <w:rPr>
          <w:color w:val="000000"/>
          <w:szCs w:val="26"/>
        </w:rPr>
      </w:pPr>
      <w:r>
        <w:rPr>
          <w:color w:val="000000"/>
          <w:szCs w:val="26"/>
        </w:rPr>
        <w:t>а) максимальный размер – 0,25 гектара,</w:t>
      </w:r>
    </w:p>
    <w:p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б) минимальн</w:t>
      </w:r>
      <w:r>
        <w:rPr>
          <w:color w:val="000000"/>
          <w:szCs w:val="26"/>
        </w:rPr>
        <w:t xml:space="preserve">ый </w:t>
      </w:r>
      <w:r>
        <w:rPr>
          <w:rFonts w:eastAsia="NSimSun"/>
          <w:color w:val="000000"/>
          <w:kern w:val="2"/>
          <w:szCs w:val="26"/>
          <w:lang w:bidi="hi-IN"/>
        </w:rPr>
        <w:t>размер – 0,01 гектара;</w:t>
      </w:r>
    </w:p>
    <w:p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 xml:space="preserve">4) для ведения личного подсобного хозяйства: </w:t>
      </w:r>
    </w:p>
    <w:p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а) максимальный размер – 2,5 гектара,</w:t>
      </w:r>
    </w:p>
    <w:p>
      <w:pPr>
        <w:tabs>
          <w:tab w:val="left" w:pos="0"/>
        </w:tabs>
        <w:ind w:firstLine="993"/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б) минимальный размер – 0,08 гектара;</w:t>
      </w:r>
    </w:p>
    <w:p>
      <w:pPr>
        <w:tabs>
          <w:tab w:val="left" w:pos="0"/>
        </w:tabs>
        <w:rPr>
          <w:rFonts w:eastAsia="NSimSun"/>
          <w:color w:val="000000"/>
          <w:kern w:val="2"/>
          <w:szCs w:val="26"/>
          <w:lang w:bidi="hi-IN"/>
        </w:rPr>
      </w:pPr>
      <w:r>
        <w:rPr>
          <w:rFonts w:eastAsia="NSimSun"/>
          <w:color w:val="000000"/>
          <w:kern w:val="2"/>
          <w:szCs w:val="26"/>
          <w:lang w:bidi="hi-IN"/>
        </w:rPr>
        <w:t>4) для всех прочих случаев и видов разрешенного использования земельных участков, кроме перечисленных в пунктах 1-4 настоящей части, предельные (минимальные и (или) максимальные) размеры земельных участков, в том числе их площадь не ограничиваются;</w:t>
      </w:r>
    </w:p>
    <w:p>
      <w:pPr>
        <w:tabs>
          <w:tab w:val="left" w:pos="0"/>
        </w:tabs>
        <w:rPr>
          <w:szCs w:val="26"/>
        </w:rPr>
      </w:pPr>
      <w:r>
        <w:rPr>
          <w:rFonts w:eastAsia="NSimSun"/>
          <w:color w:val="000000"/>
          <w:kern w:val="2"/>
          <w:szCs w:val="26"/>
          <w:lang w:bidi="hi-IN"/>
        </w:rPr>
        <w:t>2.2. Минимальные отступы от границ земельных участков в целях определения мест допустимого размещения зданий, строений, сооружений, за</w:t>
      </w:r>
      <w:r>
        <w:rPr>
          <w:color w:val="000000"/>
          <w:szCs w:val="26"/>
        </w:rPr>
        <w:t xml:space="preserve"> пределами которых запрещено строительство зданий, строений, сооружений: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2.7.2, 3.1.1, 6.8, 7.1.1, 7.1.2, 7.2.1,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для жилых домов (коды 2.2, 13.2) – 3 надземных этажа;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для всех прочих зданий, строений, сооружений, размещаемых в границах данной территориальной зоны, и не указанных в пункте 1 настоящей части, предельное количество этажей не ограничивается.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приведен в Таблице 11.</w:t>
      </w:r>
    </w:p>
    <w:p>
      <w:pPr>
        <w:rPr>
          <w:szCs w:val="26"/>
        </w:rPr>
      </w:pPr>
    </w:p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 xml:space="preserve">Таблица 8. </w:t>
      </w:r>
      <w:r>
        <w:rPr>
          <w:sz w:val="26"/>
          <w:szCs w:val="26"/>
        </w:rPr>
        <w:t>Максимальный процент застройки в границах земельного участка, расположенного</w:t>
      </w:r>
      <w:r>
        <w:rPr>
          <w:rFonts w:eastAsia="Liberation Serif"/>
          <w:sz w:val="26"/>
          <w:szCs w:val="26"/>
        </w:rPr>
        <w:t xml:space="preserve"> территориальной жилой зоне.</w:t>
      </w:r>
    </w:p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09"/>
        <w:gridCol w:w="3956"/>
      </w:tblGrid>
      <w:tr>
        <w:trPr>
          <w:cantSplit/>
          <w:trHeight w:val="20"/>
          <w:tblHeader/>
          <w:jc w:val="center"/>
        </w:trPr>
        <w:tc>
          <w:tcPr>
            <w:tcW w:w="568" w:type="dxa"/>
            <w:shd w:val="clear" w:color="auto" w:fill="DEEAF6"/>
            <w:vAlign w:val="center"/>
          </w:tcPr>
          <w:p>
            <w:pPr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4809" w:type="dxa"/>
            <w:shd w:val="clear" w:color="auto" w:fill="DEEAF6"/>
            <w:vAlign w:val="center"/>
          </w:tcPr>
          <w:p>
            <w:pPr>
              <w:ind w:right="-37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 разрешенного использования земельного участка</w:t>
            </w:r>
          </w:p>
        </w:tc>
        <w:tc>
          <w:tcPr>
            <w:tcW w:w="3956" w:type="dxa"/>
            <w:shd w:val="clear" w:color="auto" w:fill="DEEAF6"/>
            <w:vAlign w:val="center"/>
          </w:tcPr>
          <w:p>
            <w:pPr>
              <w:ind w:left="-38" w:right="-143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Максимальный процент застройки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</w:tcPr>
          <w:p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09" w:type="dxa"/>
            <w:shd w:val="clear" w:color="auto" w:fill="auto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ведения личного подсобного хозяйства (приусадебный земельный участок) (код 2.2)</w:t>
            </w:r>
          </w:p>
        </w:tc>
        <w:tc>
          <w:tcPr>
            <w:tcW w:w="3956" w:type="dxa"/>
          </w:tcPr>
          <w:p>
            <w:pPr>
              <w:ind w:left="-38" w:right="-143" w:firstLine="28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40%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</w:tcPr>
          <w:p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09" w:type="dxa"/>
            <w:shd w:val="clear" w:color="auto" w:fill="auto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Ведение садоводства (код 13.2) </w:t>
            </w:r>
          </w:p>
        </w:tc>
        <w:tc>
          <w:tcPr>
            <w:tcW w:w="3956" w:type="dxa"/>
          </w:tcPr>
          <w:p>
            <w:pPr>
              <w:ind w:left="-38" w:right="-143" w:firstLine="28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25%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  <w:shd w:val="clear" w:color="auto" w:fill="FFFFFF"/>
          </w:tcPr>
          <w:p>
            <w:pPr>
              <w:pStyle w:val="afe"/>
              <w:spacing w:line="240" w:lineRule="auto"/>
              <w:ind w:left="-79" w:right="-90"/>
              <w:jc w:val="center"/>
              <w:outlineLvl w:val="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09" w:type="dxa"/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нежилых объектов</w:t>
            </w:r>
          </w:p>
        </w:tc>
        <w:tc>
          <w:tcPr>
            <w:tcW w:w="3956" w:type="dxa"/>
          </w:tcPr>
          <w:p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60%</w:t>
            </w:r>
          </w:p>
        </w:tc>
      </w:tr>
      <w:tr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afe"/>
              <w:ind w:left="-79" w:right="-9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ind w:right="-37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Для объектов капитального строительства инженерной и транспортной инфраструктур с кодами вида использования 2.7.2, 3.1.1, 6.8, 7.1.1, 7.1.2, 7.2.1, 7.5, 11.3, 12.0.1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-38" w:right="-143" w:firstLine="33"/>
              <w:outlineLvl w:val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ограничивается</w:t>
            </w:r>
          </w:p>
        </w:tc>
      </w:tr>
    </w:tbl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Требования к архитектурно-градостроительному облику объекта капитального строительства не подлежат установлению.</w:t>
      </w:r>
    </w:p>
    <w:p>
      <w:pPr>
        <w:tabs>
          <w:tab w:val="left" w:pos="1605"/>
        </w:tabs>
        <w:rPr>
          <w:b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5" w:name="_Toc80626677"/>
      <w:r>
        <w:rPr>
          <w:rFonts w:ascii="Times New Roman" w:hAnsi="Times New Roman" w:cs="Times New Roman"/>
        </w:rPr>
        <w:t>Статья 21. Зона сельскохозяйственного назначения (СХН</w:t>
      </w:r>
      <w:bookmarkEnd w:id="25"/>
      <w:r>
        <w:rPr>
          <w:rFonts w:ascii="Times New Roman" w:hAnsi="Times New Roman" w:cs="Times New Roman"/>
        </w:rPr>
        <w:t>)</w:t>
      </w:r>
    </w:p>
    <w:p/>
    <w:p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Зона предназначена для ведения за границами населенного пункта садоводства, огородничества, личного подсобного хозяйства, размещения объектов сельского хозяйства, а также объектов инженерной и транспортной инфраструктуры, иных объектов согласно градостроительным регламентам.</w:t>
      </w:r>
    </w:p>
    <w:p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>
      <w:pPr>
        <w:shd w:val="clear" w:color="auto" w:fill="FFFFFF"/>
        <w:tabs>
          <w:tab w:val="left" w:pos="709"/>
        </w:tabs>
        <w:ind w:firstLine="709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>Таблица 9.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сельскохозяйственного назначения (СХН).</w:t>
      </w:r>
    </w:p>
    <w:p>
      <w:pPr>
        <w:ind w:firstLine="567"/>
        <w:rPr>
          <w:b/>
          <w:sz w:val="28"/>
          <w:szCs w:val="28"/>
        </w:rPr>
      </w:pPr>
    </w:p>
    <w:tbl>
      <w:tblPr>
        <w:tblStyle w:val="-2"/>
        <w:tblW w:w="9380" w:type="dxa"/>
        <w:tblLayout w:type="fixed"/>
        <w:tblLook w:val="0000" w:firstRow="0" w:lastRow="0" w:firstColumn="0" w:lastColumn="0" w:noHBand="0" w:noVBand="0"/>
      </w:tblPr>
      <w:tblGrid>
        <w:gridCol w:w="565"/>
        <w:gridCol w:w="7820"/>
        <w:gridCol w:w="995"/>
      </w:tblGrid>
      <w:tr>
        <w:trPr>
          <w:trHeight w:val="547"/>
        </w:trPr>
        <w:tc>
          <w:tcPr>
            <w:tcW w:w="505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80" w:type="dxa"/>
            <w:shd w:val="pct12" w:color="auto" w:fill="auto"/>
          </w:tcPr>
          <w:p>
            <w:pPr>
              <w:pStyle w:val="aff3"/>
              <w:ind w:left="142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строительства*</w:t>
            </w:r>
          </w:p>
        </w:tc>
        <w:tc>
          <w:tcPr>
            <w:tcW w:w="935" w:type="dxa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Овощеводство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Садоводство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Скотоводство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Звероводство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Птицеводство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Свиноводство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Пчеловодство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Питомники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1.18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Сенокошение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935" w:type="dxa"/>
          </w:tcPr>
          <w:p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3.9.3</w:t>
            </w:r>
          </w:p>
        </w:tc>
      </w:tr>
      <w:tr>
        <w:trPr>
          <w:trHeight w:val="393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93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Пищевая промышленность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энергетика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огородничества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Ведение садоводства ***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13.2</w:t>
            </w:r>
          </w:p>
        </w:tc>
      </w:tr>
      <w:tr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Воздушный транспорт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7.4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древесины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Лесные плантации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10.3</w:t>
            </w:r>
          </w:p>
        </w:tc>
      </w:tr>
      <w:tr>
        <w:trPr>
          <w:trHeight w:val="331"/>
        </w:trPr>
        <w:tc>
          <w:tcPr>
            <w:tcW w:w="9300" w:type="dxa"/>
            <w:gridSpan w:val="3"/>
            <w:shd w:val="pct12" w:color="auto" w:fill="auto"/>
          </w:tcPr>
          <w:p>
            <w:pPr>
              <w:pStyle w:val="aff3"/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780" w:type="dxa"/>
            <w:vAlign w:val="center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Размещение гаражей для собственных нужд </w:t>
            </w:r>
            <w:r>
              <w:rPr>
                <w:bCs w:val="0"/>
                <w:sz w:val="24"/>
                <w:szCs w:val="24"/>
                <w:shd w:val="clear" w:color="auto" w:fill="FFFFFF"/>
              </w:rPr>
              <w:t>****</w:t>
            </w:r>
          </w:p>
        </w:tc>
        <w:tc>
          <w:tcPr>
            <w:tcW w:w="935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2.7.2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780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35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Служебные гаражи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Склады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Складские площадки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bCs w:val="0"/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31"/>
        </w:trPr>
        <w:tc>
          <w:tcPr>
            <w:tcW w:w="505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780" w:type="dxa"/>
          </w:tcPr>
          <w:p>
            <w:pPr>
              <w:pStyle w:val="aff3"/>
              <w:widowControl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35" w:type="dxa"/>
          </w:tcPr>
          <w:p>
            <w:pPr>
              <w:pStyle w:val="aff3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rPr>
          <w:sz w:val="20"/>
        </w:rPr>
      </w:pPr>
      <w:r>
        <w:rPr>
          <w:sz w:val="20"/>
        </w:rPr>
        <w:t xml:space="preserve">Примечание: </w:t>
      </w:r>
    </w:p>
    <w:p>
      <w:pPr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rPr>
          <w:sz w:val="20"/>
        </w:rPr>
      </w:pPr>
      <w:r>
        <w:rPr>
          <w:sz w:val="20"/>
        </w:rPr>
        <w:t>*** Вид разрешенного использования с кодом 13.2 устанавливается в территориальной зоне СХН (за границами населенного пункта) только для земельных участков, предоставленных садоводческому некоммерческому товариществу для ведения садоводства.</w:t>
      </w:r>
    </w:p>
    <w:p>
      <w:pPr>
        <w:rPr>
          <w:sz w:val="20"/>
        </w:rPr>
      </w:pPr>
      <w:r>
        <w:rPr>
          <w:sz w:val="20"/>
        </w:rPr>
        <w:t>**** Вспомогательный вид разрешенного использования с кодом 2.7.2, допустим только в качестве дополнительного по отношению к основным видам разрешенного использования с кодами 13.2 и осуществляем совместно с ними.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Предельные (минимальные и (или) максимальные) размеры земельных участков, в том числе их площадь: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предоставляемых гражданам в собственность бесплатно на территории Орловской области из земель, находящихся в собственности области или муниципальной собственности, либо из земель, государственная собственность на которые не разграничена,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 для ведения садоводства, огородничества: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максимальный размер – 0,25 гектара,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минимальный размер – 0,01 гектара;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для ведения садоводства, огородничества: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максимальный размер – 0,25 гектара,</w:t>
      </w:r>
    </w:p>
    <w:p>
      <w:pPr>
        <w:pStyle w:val="ConsPlusNormal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минимальный размер – 0,01 гектара;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для всех прочих случаев и видов разрешенного использования земельных участков, кроме перечисленных в пунктах 1-2 настоящей части, предельные (минимальные и (или) максимальные) размеры земельных участков, в том числе их площадь не ограничиваются;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от границы земельного участка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от красной линии – 5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от границы земельного участка, совпадающей с красной линией – 3 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принадлежности земельных участков одному правообладателю;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для земельных участков, образуемых для размещения объектов капитального строительства инженерной и транспортной инфраструктуры с кодами вида использования 2.7.2, 3.1.1, 6.8, 7.1.1, 7.1.2, 7.2.1, 7.5, 11.3,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для жилых домов (коды 2.2, 13.2) – 3 надземных этажа;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 для всех прочих зданий, строений, сооружений, размещаемых в границах данной территориальной зоны, и не указанных в пункте 1 настоящей части, предельное количество этажей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Предельная высота зданий, строений, сооружений, размещаемых на земельном участке,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установленными статьей 25 главы 9 настоящих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Правил.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4. Требования к архитектурно-градостроительному облику объекта капитального строительства не подлежат установлению.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6" w:name="_Toc80626678"/>
      <w:r>
        <w:rPr>
          <w:rFonts w:ascii="Times New Roman" w:hAnsi="Times New Roman" w:cs="Times New Roman"/>
        </w:rPr>
        <w:t>Статья 22. Зона рекреационного назначения (Р</w:t>
      </w:r>
      <w:bookmarkEnd w:id="26"/>
      <w:r>
        <w:rPr>
          <w:rFonts w:ascii="Times New Roman" w:hAnsi="Times New Roman" w:cs="Times New Roman"/>
        </w:rPr>
        <w:t>)</w:t>
      </w:r>
    </w:p>
    <w:p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  <w:lang w:eastAsia="ar-SA"/>
        </w:rPr>
        <w:t>1.</w:t>
      </w:r>
      <w:r>
        <w:rPr>
          <w:bCs/>
          <w:color w:val="000000"/>
          <w:sz w:val="26"/>
          <w:szCs w:val="26"/>
        </w:rPr>
        <w:t xml:space="preserve"> Зона предназначена для размещения парков, скверов, бульваров, садов, прудов, пляжей, набережных, используемых в целях кратковременного отдыха, проведения досуга населения, культурно-развлекательных и спортивных объектов, связанных с выполнением рекреационных функций территории, объектов инженерной и транспортной инфраструктуры, иных объектов согласно градостроительным регламентам.</w:t>
      </w:r>
    </w:p>
    <w:p>
      <w:pPr>
        <w:ind w:firstLine="709"/>
        <w:jc w:val="both"/>
        <w:rPr>
          <w:bCs/>
          <w:color w:val="000000"/>
          <w:sz w:val="26"/>
          <w:szCs w:val="26"/>
        </w:rPr>
      </w:pPr>
    </w:p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 xml:space="preserve">Таблица 10.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</w:t>
      </w:r>
      <w:r>
        <w:rPr>
          <w:rFonts w:eastAsia="Liberation Serif"/>
          <w:sz w:val="26"/>
          <w:szCs w:val="26"/>
          <w:shd w:val="clear" w:color="auto" w:fill="FFFFFF"/>
        </w:rPr>
        <w:t>рекреационной зоны (Р).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-2"/>
        <w:tblW w:w="9429" w:type="dxa"/>
        <w:tblLayout w:type="fixed"/>
        <w:tblLook w:val="0000" w:firstRow="0" w:lastRow="0" w:firstColumn="0" w:lastColumn="0" w:noHBand="0" w:noVBand="0"/>
      </w:tblPr>
      <w:tblGrid>
        <w:gridCol w:w="568"/>
        <w:gridCol w:w="7822"/>
        <w:gridCol w:w="1039"/>
      </w:tblGrid>
      <w:tr>
        <w:trPr>
          <w:trHeight w:val="547"/>
        </w:trPr>
        <w:tc>
          <w:tcPr>
            <w:tcW w:w="508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82" w:type="dxa"/>
            <w:shd w:val="pct12" w:color="auto" w:fill="auto"/>
          </w:tcPr>
          <w:p>
            <w:pPr>
              <w:pStyle w:val="aff3"/>
              <w:ind w:lef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разрешенного использования земельных участков и объектов капитального строительства**</w:t>
            </w:r>
          </w:p>
        </w:tc>
        <w:tc>
          <w:tcPr>
            <w:tcW w:w="979" w:type="dxa"/>
            <w:shd w:val="pct12" w:color="auto" w:fill="auto"/>
          </w:tcPr>
          <w:p>
            <w:pPr>
              <w:pStyle w:val="af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82" w:type="dxa"/>
          </w:tcPr>
          <w:p>
            <w:pPr>
              <w:pStyle w:val="aff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Парки культуры и отдыха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5.1.4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Водный 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5.1.5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Спортивные базы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5.1.7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Охота и рыбалка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Железнодорожные пути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7.5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82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Деятельность по особой охране и изучению природы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9.0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782" w:type="dxa"/>
          </w:tcPr>
          <w:p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Охрана природных территорий</w:t>
            </w:r>
          </w:p>
        </w:tc>
        <w:tc>
          <w:tcPr>
            <w:tcW w:w="979" w:type="dxa"/>
          </w:tcPr>
          <w:p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Курортная деятельность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9.2.1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Историко-культурная деятельность***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леса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Водные объекты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  <w:tr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Условно разрешенные виды использования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Рыбоводство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Цирки и зверинцы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82" w:type="dxa"/>
            <w:vAlign w:val="center"/>
          </w:tcPr>
          <w:p>
            <w:pPr>
              <w:pStyle w:val="aff3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Деловое управление</w:t>
            </w:r>
          </w:p>
        </w:tc>
        <w:tc>
          <w:tcPr>
            <w:tcW w:w="979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4.6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4.8.1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Авиационный 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5.1.6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Водный транспорт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8.3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</w:t>
            </w:r>
          </w:p>
        </w:tc>
      </w:tr>
      <w:tr>
        <w:trPr>
          <w:trHeight w:val="340"/>
        </w:trPr>
        <w:tc>
          <w:tcPr>
            <w:tcW w:w="9349" w:type="dxa"/>
            <w:gridSpan w:val="3"/>
            <w:shd w:val="pct12" w:color="auto" w:fill="auto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Вспомогательные виды разрешенного использования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bCs w:val="0"/>
                <w:color w:val="000000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7.2.1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bCs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bCs w:val="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7.2.2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782" w:type="dxa"/>
          </w:tcPr>
          <w:p>
            <w:pPr>
              <w:pStyle w:val="aff3"/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Улично-дорожная сеть</w:t>
            </w:r>
          </w:p>
        </w:tc>
        <w:tc>
          <w:tcPr>
            <w:tcW w:w="979" w:type="dxa"/>
          </w:tcPr>
          <w:p>
            <w:pPr>
              <w:pStyle w:val="aff3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12.0.1</w:t>
            </w:r>
          </w:p>
        </w:tc>
      </w:tr>
      <w:tr>
        <w:trPr>
          <w:trHeight w:val="340"/>
        </w:trPr>
        <w:tc>
          <w:tcPr>
            <w:tcW w:w="508" w:type="dxa"/>
            <w:vAlign w:val="center"/>
          </w:tcPr>
          <w:p>
            <w:pPr>
              <w:pStyle w:val="af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782" w:type="dxa"/>
          </w:tcPr>
          <w:p>
            <w:pPr>
              <w:pStyle w:val="aff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979" w:type="dxa"/>
          </w:tcPr>
          <w:p>
            <w:pPr>
              <w:pStyle w:val="aff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12.0.2</w:t>
            </w:r>
          </w:p>
        </w:tc>
      </w:tr>
    </w:tbl>
    <w:p>
      <w:pPr>
        <w:jc w:val="both"/>
        <w:rPr>
          <w:color w:val="000000"/>
          <w:sz w:val="18"/>
          <w:szCs w:val="18"/>
        </w:rPr>
      </w:pPr>
    </w:p>
    <w:p>
      <w:pPr>
        <w:jc w:val="both"/>
        <w:rPr>
          <w:sz w:val="20"/>
        </w:rPr>
      </w:pPr>
      <w:bookmarkStart w:id="27" w:name="_Hlk77089558"/>
      <w:r>
        <w:rPr>
          <w:sz w:val="20"/>
        </w:rPr>
        <w:t xml:space="preserve">Примечание: </w:t>
      </w:r>
    </w:p>
    <w:p>
      <w:pPr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rPr>
          <w:szCs w:val="26"/>
        </w:rPr>
      </w:pPr>
    </w:p>
    <w:p>
      <w:pPr>
        <w:ind w:firstLine="709"/>
        <w:rPr>
          <w:sz w:val="26"/>
          <w:szCs w:val="26"/>
        </w:rPr>
      </w:pPr>
      <w:r>
        <w:rPr>
          <w:szCs w:val="26"/>
          <w:shd w:val="clear" w:color="auto" w:fill="FFFFFF"/>
        </w:rPr>
        <w:t>2.</w:t>
      </w:r>
      <w:r>
        <w:rPr>
          <w:szCs w:val="26"/>
        </w:rPr>
        <w:t xml:space="preserve"> Предельные (</w:t>
      </w:r>
      <w:r>
        <w:rPr>
          <w:sz w:val="26"/>
          <w:szCs w:val="26"/>
        </w:rPr>
        <w:t>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ind w:firstLine="709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м;</w:t>
      </w:r>
    </w:p>
    <w:p>
      <w:pPr>
        <w:pStyle w:val="aff2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7.2.1, 7.2.2, 7.5, 11.3, 12.0.1,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28" w:name="_Toc80626679"/>
      <w:bookmarkEnd w:id="27"/>
      <w:r>
        <w:rPr>
          <w:rFonts w:ascii="Times New Roman" w:hAnsi="Times New Roman" w:cs="Times New Roman"/>
        </w:rPr>
        <w:t>Статья 23. Зона специального назначения (СП</w:t>
      </w:r>
      <w:bookmarkEnd w:id="28"/>
      <w:r>
        <w:rPr>
          <w:rFonts w:ascii="Times New Roman" w:hAnsi="Times New Roman" w:cs="Times New Roman"/>
        </w:rPr>
        <w:t>)</w:t>
      </w:r>
    </w:p>
    <w:p/>
    <w:p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Зона предназначена для объектов специального назначения, объектов инженерной и транспортной инфраструктуры, иных объектов согласно градостроительным регламентам.</w:t>
      </w:r>
    </w:p>
    <w:p>
      <w:pPr>
        <w:ind w:firstLine="709"/>
        <w:jc w:val="both"/>
        <w:rPr>
          <w:sz w:val="26"/>
          <w:szCs w:val="26"/>
        </w:rPr>
      </w:pPr>
    </w:p>
    <w:p>
      <w:pPr>
        <w:shd w:val="clear" w:color="auto" w:fill="FFFFFF"/>
        <w:tabs>
          <w:tab w:val="left" w:pos="709"/>
        </w:tabs>
        <w:spacing w:after="100"/>
        <w:jc w:val="both"/>
        <w:rPr>
          <w:rFonts w:eastAsia="Liberation Serif"/>
          <w:sz w:val="26"/>
          <w:szCs w:val="26"/>
        </w:rPr>
      </w:pPr>
      <w:r>
        <w:rPr>
          <w:rFonts w:eastAsia="Liberation Serif"/>
          <w:sz w:val="26"/>
          <w:szCs w:val="26"/>
        </w:rPr>
        <w:t>Таблица 11.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территориальной зоны объектов специального назначения (СП).</w:t>
      </w:r>
    </w:p>
    <w:p>
      <w:pPr>
        <w:jc w:val="both"/>
        <w:rPr>
          <w:sz w:val="26"/>
          <w:szCs w:val="26"/>
        </w:rPr>
      </w:pPr>
    </w:p>
    <w:tbl>
      <w:tblPr>
        <w:tblStyle w:val="-2"/>
        <w:tblW w:w="9308" w:type="dxa"/>
        <w:tblLayout w:type="fixed"/>
        <w:tblLook w:val="0000" w:firstRow="0" w:lastRow="0" w:firstColumn="0" w:lastColumn="0" w:noHBand="0" w:noVBand="0"/>
      </w:tblPr>
      <w:tblGrid>
        <w:gridCol w:w="746"/>
        <w:gridCol w:w="7524"/>
        <w:gridCol w:w="1038"/>
      </w:tblGrid>
      <w:tr>
        <w:trPr>
          <w:trHeight w:val="547"/>
        </w:trPr>
        <w:tc>
          <w:tcPr>
            <w:tcW w:w="686" w:type="dxa"/>
            <w:shd w:val="pct12" w:color="auto" w:fill="auto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№ п/п</w:t>
            </w:r>
          </w:p>
        </w:tc>
        <w:tc>
          <w:tcPr>
            <w:tcW w:w="7484" w:type="dxa"/>
            <w:shd w:val="pct12" w:color="auto" w:fill="auto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b/>
                <w:color w:val="000000"/>
              </w:rPr>
              <w:t>*</w:t>
            </w:r>
          </w:p>
        </w:tc>
        <w:tc>
          <w:tcPr>
            <w:tcW w:w="978" w:type="dxa"/>
            <w:shd w:val="pct12" w:color="auto" w:fill="auto"/>
          </w:tcPr>
          <w:p>
            <w:pPr>
              <w:contextualSpacing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</w:rPr>
              <w:t>Код</w:t>
            </w:r>
          </w:p>
        </w:tc>
      </w:tr>
      <w:tr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>
            <w:pPr>
              <w:contextualSpacing/>
              <w:jc w:val="center"/>
            </w:pPr>
            <w:r>
              <w:rPr>
                <w:rFonts w:eastAsia="Calibri"/>
                <w:b/>
                <w:bCs/>
                <w:color w:val="000000"/>
              </w:rPr>
              <w:t>Основные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Предоставление коммунальных услуг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3.1.1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Медицинские организации особого назначения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3.4.3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3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3.9.1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Служебные гаражи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4.9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5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Связь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6.8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6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Склад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6.9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7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Складские площадки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6.9.1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Железнодорожные пути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7.1.1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9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Размещение автомобильных дорог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7.2.1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10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Трубопроводный транспорт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color w:val="000000"/>
              </w:rPr>
              <w:t>7.5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11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обороны и безопасности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8.0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12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вооруженных сил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13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внутреннего правопорядка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8.3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14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Обеспечение деятельности по исполнению наказаний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8.4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15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Историко-культурная деятельность**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9.3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16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17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Благоустройство территории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12.0.2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18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Ритуальная деятельность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19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Специальная деятельность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12.2</w:t>
            </w:r>
          </w:p>
        </w:tc>
      </w:tr>
      <w:tr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Условно разрешенные виды использования</w:t>
            </w:r>
          </w:p>
        </w:tc>
      </w:tr>
      <w:tr>
        <w:trPr>
          <w:trHeight w:val="331"/>
        </w:trPr>
        <w:tc>
          <w:tcPr>
            <w:tcW w:w="686" w:type="dxa"/>
          </w:tcPr>
          <w:p>
            <w:pPr>
              <w:contextualSpacing/>
              <w:jc w:val="center"/>
            </w:pPr>
            <w:r>
              <w:t>20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Осуществление религиозных обрядов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3.7.1</w:t>
            </w:r>
          </w:p>
        </w:tc>
      </w:tr>
      <w:tr>
        <w:trPr>
          <w:trHeight w:val="331"/>
        </w:trPr>
        <w:tc>
          <w:tcPr>
            <w:tcW w:w="686" w:type="dxa"/>
          </w:tcPr>
          <w:p>
            <w:pPr>
              <w:contextualSpacing/>
              <w:jc w:val="center"/>
            </w:pPr>
            <w:r>
              <w:t>21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Деловое управление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4.1</w:t>
            </w:r>
          </w:p>
        </w:tc>
      </w:tr>
      <w:tr>
        <w:trPr>
          <w:trHeight w:val="331"/>
        </w:trPr>
        <w:tc>
          <w:tcPr>
            <w:tcW w:w="9228" w:type="dxa"/>
            <w:gridSpan w:val="3"/>
            <w:shd w:val="pct12" w:color="auto" w:fill="auto"/>
          </w:tcPr>
          <w:p>
            <w:pPr>
              <w:contextualSpacing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Вспомогательные виды разрешенного использования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22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Предоставление коммунальных услуг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3.1.1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23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Служебные гаражи***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4.9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24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Размещение автомобильных дорог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7.2.1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25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Улично-дорожная сеть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12.0.1</w:t>
            </w:r>
          </w:p>
        </w:tc>
      </w:tr>
      <w:tr>
        <w:trPr>
          <w:trHeight w:val="331"/>
        </w:trPr>
        <w:tc>
          <w:tcPr>
            <w:tcW w:w="686" w:type="dxa"/>
            <w:vAlign w:val="center"/>
          </w:tcPr>
          <w:p>
            <w:pPr>
              <w:contextualSpacing/>
              <w:jc w:val="center"/>
            </w:pPr>
            <w:r>
              <w:t>26</w:t>
            </w:r>
          </w:p>
        </w:tc>
        <w:tc>
          <w:tcPr>
            <w:tcW w:w="7484" w:type="dxa"/>
          </w:tcPr>
          <w:p>
            <w:pPr>
              <w:contextualSpacing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Благоустройство территории</w:t>
            </w:r>
          </w:p>
        </w:tc>
        <w:tc>
          <w:tcPr>
            <w:tcW w:w="978" w:type="dxa"/>
          </w:tcPr>
          <w:p>
            <w:pPr>
              <w:contextualSpacing/>
              <w:jc w:val="center"/>
              <w:rPr>
                <w:rFonts w:eastAsia="Calibri"/>
                <w:bCs/>
                <w:color w:val="000000"/>
                <w:kern w:val="2"/>
              </w:rPr>
            </w:pPr>
            <w:r>
              <w:rPr>
                <w:rFonts w:eastAsia="Calibri"/>
                <w:bCs/>
                <w:color w:val="000000"/>
                <w:kern w:val="2"/>
              </w:rPr>
              <w:t>12.0.2</w:t>
            </w:r>
          </w:p>
        </w:tc>
      </w:tr>
    </w:tbl>
    <w:p>
      <w:pPr>
        <w:jc w:val="both"/>
        <w:rPr>
          <w:sz w:val="20"/>
        </w:rPr>
      </w:pPr>
      <w:r>
        <w:rPr>
          <w:sz w:val="20"/>
        </w:rPr>
        <w:t xml:space="preserve">Примечание: </w:t>
      </w:r>
    </w:p>
    <w:p>
      <w:pPr>
        <w:jc w:val="both"/>
        <w:rPr>
          <w:sz w:val="20"/>
        </w:rPr>
      </w:pPr>
      <w:r>
        <w:rPr>
          <w:sz w:val="20"/>
        </w:rPr>
        <w:t>* Установление вида разрешенного использования земельных участков возможно при условии соблюдения требований СП 42.13330.2016 Градостроительство. Планировка и застройка городских и сельских поселений. Актуализированная редакция СНиП 2.07.01-89* (таблицы 11.2а Расчетные параметры улиц и дорог для средних и малых городов), СанПиН 2.2.1/2.1.1.1200-03 (в т. ч. п. 5.1 и п. 5.2) и иных санитарно-эпидемиологических норм и требований.</w:t>
      </w:r>
    </w:p>
    <w:p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** Вид разрешенного использования с кодом 9.3 устанавливается для земельных участков,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области. </w:t>
      </w:r>
    </w:p>
    <w:p>
      <w:pPr>
        <w:tabs>
          <w:tab w:val="left" w:pos="7860"/>
        </w:tabs>
        <w:autoSpaceDN w:val="0"/>
        <w:adjustRightInd w:val="0"/>
        <w:jc w:val="both"/>
        <w:rPr>
          <w:sz w:val="20"/>
        </w:rPr>
      </w:pPr>
      <w:r>
        <w:rPr>
          <w:sz w:val="20"/>
        </w:rPr>
        <w:t>*** Вспомогательный вид разрешенного использования с кодом 4.9, допустим только в качестве дополнительного по отношению к основным видам разрешенного использования с кодами 3.1-3.10.2, 4.1-4.10 и осуществляем совместно с ними.</w:t>
      </w:r>
    </w:p>
    <w:p>
      <w:pPr>
        <w:ind w:firstLine="709"/>
        <w:jc w:val="both"/>
        <w:rPr>
          <w:color w:val="000000"/>
          <w:sz w:val="26"/>
          <w:szCs w:val="26"/>
        </w:rPr>
      </w:pPr>
    </w:p>
    <w:p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</w:p>
    <w:p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Предельные (минимальные и (или) максимальные) размеры земельных участков, в том числе их площадь не ограничиваются.</w:t>
      </w:r>
    </w:p>
    <w:p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1) от границы земельного участка – 3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2) от красной линии – 5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3) от границы земельного участка, совпадающей с красной линией – 3 м;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4) допускается застройка смежных земельных участков без отступа зданий от границ земельных участков в случае: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примыкания зданий друг к другу через глухие брандмауэры, по взаимному согласию собственников земельных участков при соблюдении требований санитарных и противопожарных норм,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- строительства объекта капитального строительства на смежных земельных участках, принадлежащих одному правообладателю;</w:t>
      </w:r>
    </w:p>
    <w:p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5) для земельных участков, предназначенных для размещения объектов капитального строительства инженерной и транспортной инфраструктуры с кодами вида использования 3.1.1, 6.8, 7.1.1, 7.2.1, 7.5, 12.0.1, минимальные отступы от границ земельных участков в целях определения мест допустимого размещения</w:t>
      </w:r>
      <w:r>
        <w:rPr>
          <w:sz w:val="26"/>
          <w:szCs w:val="26"/>
          <w:shd w:val="clear" w:color="auto" w:fill="FFFFFF"/>
        </w:rPr>
        <w:t xml:space="preserve"> зданий, строений, сооружений, за пределами которых запрещено строительство зданий, строений, сооружений, не ограничиваются.</w:t>
      </w:r>
    </w:p>
    <w:p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2.3. Предельное количество этажей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2.4. Предельная высота зданий, строений, сооружений, размещаемых на территории земельного участка, не ограничивается.</w:t>
      </w:r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2.5. Максимальный процент застройки в границах земельного участка, определяемый как отношение суммарной площади земельного участка, которая</w:t>
      </w:r>
      <w:r>
        <w:rPr>
          <w:sz w:val="26"/>
          <w:szCs w:val="26"/>
        </w:rPr>
        <w:t xml:space="preserve"> может быть застроена, ко всей площади земельного участка не ограничивается.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9" w:name="_Hlk77167652"/>
      <w:r>
        <w:rPr>
          <w:rFonts w:ascii="Times New Roman" w:hAnsi="Times New Roman" w:cs="Times New Roman"/>
          <w:color w:val="000000"/>
          <w:sz w:val="26"/>
          <w:szCs w:val="26"/>
        </w:rPr>
        <w:t xml:space="preserve">3. В случае если земельный участок или объект капитального строительства расположены в границах действия ограничений использования земельных участков и объектов капитального строительства, устанавливаемых в соответствии с законодательством Российской Федерации, правовой режим использования и застройки территории этого земельного участка определяется требованиями, установленными статьей 25 главы 9 настоящих Правил. </w:t>
      </w:r>
      <w:bookmarkEnd w:id="29"/>
    </w:p>
    <w:p>
      <w:pPr>
        <w:pStyle w:val="aff2"/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bookmarkStart w:id="30" w:name="_GoBack"/>
      <w:bookmarkEnd w:id="30"/>
      <w:r>
        <w:rPr>
          <w:sz w:val="26"/>
          <w:szCs w:val="26"/>
        </w:rPr>
        <w:t>Требования к архитектурно-градостроительному облику объекта капитального строительства не подлежат установлению.</w:t>
      </w:r>
    </w:p>
    <w:p>
      <w:pPr>
        <w:pStyle w:val="3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bookmarkStart w:id="31" w:name="_Toc81483590"/>
      <w:r>
        <w:rPr>
          <w:rFonts w:ascii="Times New Roman" w:hAnsi="Times New Roman" w:cs="Times New Roman"/>
        </w:rPr>
        <w:t>Статья 24. Зона лесов (ЛФ)</w:t>
      </w:r>
      <w:bookmarkEnd w:id="31"/>
      <w:r>
        <w:rPr>
          <w:rFonts w:ascii="Times New Roman" w:hAnsi="Times New Roman" w:cs="Times New Roman"/>
        </w:rPr>
        <w:t>.</w:t>
      </w:r>
    </w:p>
    <w:p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статьей 36 ГрК РФ градостроительный регламент не устанавливается для земель лесного фонда. 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>
      <w:pPr>
        <w:widowControl w:val="0"/>
        <w:suppressAutoHyphens/>
        <w:autoSpaceDE w:val="0"/>
        <w:ind w:firstLine="720"/>
        <w:rPr>
          <w:rFonts w:ascii="Arial" w:eastAsia="NSimSun" w:hAnsi="Arial" w:cs="Arial"/>
          <w:sz w:val="20"/>
          <w:szCs w:val="20"/>
          <w:lang w:eastAsia="zh-CN" w:bidi="hi-IN"/>
        </w:rPr>
      </w:pPr>
    </w:p>
    <w:p>
      <w:pPr>
        <w:widowControl w:val="0"/>
        <w:suppressAutoHyphens/>
        <w:autoSpaceDE w:val="0"/>
        <w:ind w:firstLine="720"/>
        <w:rPr>
          <w:rFonts w:ascii="Arial" w:eastAsia="NSimSun" w:hAnsi="Arial" w:cs="Arial"/>
          <w:sz w:val="20"/>
          <w:szCs w:val="20"/>
          <w:lang w:eastAsia="zh-CN" w:bidi="hi-IN"/>
        </w:rPr>
      </w:pPr>
    </w:p>
    <w:p>
      <w:pPr>
        <w:pStyle w:val="3"/>
        <w:numPr>
          <w:ilvl w:val="2"/>
          <w:numId w:val="0"/>
        </w:numPr>
        <w:tabs>
          <w:tab w:val="num" w:pos="0"/>
          <w:tab w:val="left" w:pos="851"/>
        </w:tabs>
        <w:suppressAutoHyphens/>
        <w:spacing w:before="0" w:after="0"/>
        <w:ind w:firstLine="709"/>
        <w:jc w:val="both"/>
        <w:rPr>
          <w:rFonts w:ascii="Times New Roman" w:hAnsi="Times New Roman" w:cs="Times New Roman"/>
        </w:rPr>
      </w:pPr>
      <w:bookmarkStart w:id="32" w:name="_Toc73017569"/>
      <w:bookmarkStart w:id="33" w:name="_Toc76995052"/>
      <w:bookmarkStart w:id="34" w:name="_Toc80626680"/>
      <w:r>
        <w:rPr>
          <w:rFonts w:ascii="Times New Roman" w:hAnsi="Times New Roman" w:cs="Times New Roman"/>
        </w:rPr>
        <w:t>Статья 25.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</w:t>
      </w:r>
      <w:bookmarkEnd w:id="32"/>
      <w:bookmarkEnd w:id="33"/>
      <w:bookmarkEnd w:id="34"/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со статьей 105 Земельного кодекса Российской Федерации на территории сельского поселения могут быть выделены следующие виды зон с особыми условиями использования территорий: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1. Зона охраны объектов культурного наследия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наследия, зона регулирования застройки и хозяйственной деятельности, зона охраняемого природного ландшафта.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и (или) проектами зон охраны объектов культурного наследия.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2. Защитная зона объекта культурного наследия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в целях обеспечения сохранности объектов культурного наследия и композиционно-видовых связей (панорам) в границах защитных зон объектов культурного наследия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3. Охранная зона объектов электроэнергетики (объектов электросетевого хозяйства и объектов по производству электрической энергии)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Размеры охранной зоны и ограничения использования земельных участков, находящихся в границах охранных зон, устанавливаются в соответствии со следующими документами: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Постановление Правительства Российской Федерации от 24 февраля 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Постановление Правительства Российской Федерации от 18 ноября 2013 года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4. Охранная зона железных дорог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целях обеспечения безопасной эксплуатации железнодорожных путей и других объектов железнодорожного транспорта, а также безопасности населения, работников железнодорожного транспорта и пассажиров в местах, подверженных оползням, обвалам, размывам, селям и другим негативным воздействиям, и в местах движения скоростных поездов устанавливаются охранные зоны.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Положение об охранных зонах утверждается Правительством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охранных зон железных дорог определяются в соответствии с Федеральным законом от 10 января 2003 года № 17-ФЗ «О железнодорожном транспорте в Российской Федерации» и постановлением Правительства Российской Федерации от 12 октября 2006 года № 611 «О порядке установления и использования полос отвода и охранных зон железных дорог».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5. Придорожная полоса автомобильной дороги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установлены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6. Охранная зона трубопроводов (газопроводов, нефтепроводов и нефтепродуктопроводов, аммиакопроводов)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 от 31 марта 1999 года № 69-ФЗ «О газоснабжении в Российской Федерации» на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использовании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7. Охранная зона линий и сооружений связи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Правила охраны линий и сооружений связи Российской Федерации вводятся для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9 июня 1995 года № 578.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8. Приаэродромная территория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Приаэродромная территория устанавливается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Федерации, земельным законодательством, законодательством о градостроительной деятельности с учетом требований законодательства в области обеспечения санитарно-эпидемиологического благополучия населения.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(или) расположенных на них объектов недвижимости и осуществления экономической и иной деятельности устанавливаются решением об установлении приаэродромной территории в соответствии с Правилами установления приаэродромной территории, Правилами выделения на приаэродромной территории подзон и Правилами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территории, утвержденными постановлением Правительства Российской Федерации от 2 декабря 2017 года № 1460.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9. Зона охраняемого объекта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Зона охраняемого объекта устанавливается бессрочно для исключения причин и условий, порождающих угрозу безопасности объектов государственной охраны и охраняемых объектов, в том числе в отношении вновь создаваемого объекта (планируемого к строительству) или в случае реконструкции охраняемого объекта.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для каждой зоны охраняемого объекта формируются из перечня ограничений использования земельных участков и ограничений хозяйственной и иной деятельности согласно приложению «Перечень ограничений использования земельных участков и ограничений хозяйственной и иной деятельности» к Положению о зоне охраняемого объекта, утвержденного постановлением правительства российской Федерации от 31 августа 2019 года № 1132.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10. Зона охраняемого военного объекта, охранная зона военного объекта, запретные и специальные зоны, устанавливаемые в связи с размещением указанных объектов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установления данных зон определяется 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Федерации, других войск, воинских формирований и органов, выполняющих задачи в области обороны страны, утвержденным постановлением Правительства Российской Федерации от 5 мая 2014 года № 405.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11. Охранная зона особо охраняемой природной территории (государственного природного заповедника, национального парка, природного парка, памятника природы)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14 марта 1995 года № 33-ФЗ «Об особо охраняемых природных территориях»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12. Охранная зона стационарных пунктов наблюдений за состоянием окружающей среды, ее загрязнением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19 июля 1998 года № 113-ФЗ «О гидрометеорологической службе» в целях получения достоверной информации о состоянии окружающей среды, ее загрязнении вокруг стационарных пунктов наблюдений создаются охранные зоны, в которых устанавливаются ограничения использования земельных участков. Положение об охранных зонах стационарных пунктов наблюдений утверждается Правительством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13. Водоохранная (рыбоохранная) зона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Использование земельных участков и иных объектов недвижимости, расположенных в границах водоохранных зон, регламентируется требованиями Водного кодекса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14. Прибрежная защитная полоса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 в соответствии с Водным кодексом Российской Федерации.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15. Зоны санитарной охраны источников питьевого и хозяйственно-бытового водоснабжения, а также устанавливаемые в случаях, предусмотренных Водным кодексом Российской Федерации, в отношении подземных водных объектов зоны специальной охраны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Для водных объектов, используемых для целей питьевого и хозяйственно-бытового водоснабжения, устанавливаются зоны санитарной охраны в соответствии с законодательством о санитарно-эпидемиологическом благополучии населения. В зонах санитарной охраны источников питьевого водоснабжения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 запрещаются или ограничиваются в случаях и в порядке, которые установлены санитарными правилами и нормами в соответствии с законодательством о санитарно-эпидемиологическом благополучии населения.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Зоны санитарной охраны источников водоснабжения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Ограничения использования земельных участков и объектов капитального строительства в границах зон санитарной охраны источников водоснабжения установлены следующими документами: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Водный кодекс Российской Федерации;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Федеральный закон от 30 марта 1999 года № 52-ФЗ «О санитарно-эпидемиологическом благополучии населения»;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3) СанПиН 2.1.4.1110-02 «Зоны санитарной охраны источников водоснабжения и водопроводов питьевого назначения»;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4) СанПиН 2.1.5.980-00. 2.1.5. «Водоотведение населенных мест, санитарная охрана водных объектов. Гигиенические требования к охране поверхностных вод. Санитарные правила и нормы»;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5) СП 2.1.5.1059-01 «Гигиенические требования к охране подземных вод от загрязнения»;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6) СП 31.13330.2012 Свод правил. Водоснабжение. Наружные сети и сооружения. Актуализированная редакция СНиП 2.04.02-84*;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7)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16. Зоны затопления и подтопления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Границы зон затопления, подтопления устанавливаются в отношении территорий в соответствии с требованиями согласно приложению к Положению о зонах затопления, подтопления, утвержденному постановлением Правительства Российской Федерации от 18 апреля 2014 года № 360 «О зонах затопления, подтопления».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2) использование сточных вод в целях регулирования плодородия почв;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4) осуществление авиационных мер по борьбе с вредными организмами.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17. Санитарно-защитная зона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На территории санитарно-защитных зон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Содержание указанного режима определяется в соответствии с СанПиН 2.2.1/2.1.1.1200-03 санитарно-эпидемиологическими правилами и нормативами «Санитарно-защитные зоны и санитарная классификация предприятий, сооружений и иных объектов» и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3 марта 2018 года № 222.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18. Охранная зона пунктов государственной геодезической сети, государственной нивелирной сети и государственной гравиметрической сети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установления, изменения, прекращения существования охранных зон пунктов государственной геодезической сети, государственной нивелирной сети и государственной гравиметрической сети (далее соответственно - пункты, охранные зоны пунктов) определен Положением об охранных зонах пунктов государственной геодезической сети, государственной нивелирной сети и государственной гравиметрической сети, утвержденным постановление Правительства РФ от 21.08.2019 г. № 1080 «Об охранных зонах пунктов государственной геодезической сети, государственной нивелирной сети и государственной гравиметрической сети».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19. Рыбохозяйственная заповедная зона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В соответствии с Федеральным законом от 20 декабря 2004 года № 166-ФЗ «О рыболовстве и сохранении водных биологических ресурсов» рыбохозяйственной заповедной зоной является водный объект или его часть с прилегающей к ним территорией,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Порядок образования рыбохозяйственных заповедных зон, виды хозяйственной и иной деятельности, которые могут быть запрещены или ограничены в рыбохозяйственных заповедных зонах, определяются Правилами образования рыбохозяйственных заповедных зон, утвержденными постановлением Правительства Российской Федерации от 5 октября 2016 года № 1005.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20. Зона минимальных расстояний до магистральных или промышленных трубопроводов (газопроводов, нефтепроводов и нефтепродуктопроводов, аммиакопроводов)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До утверждения Правительством Российской Федерации положения о зонах минимальных расстояний до магистральных или промышленных трубопроводов правовой режим и порядок установления минимальных расстояний до промышленных и магистральных трубопроводов определяется Правилами охраны магистральных трубопроводов, утвержденными заместителем Министра топлива и энергетики России 29 апреля 1992 года и постановлением Госгортехнадзора России от 22 апреля 1992 года № 9 (утрачивают силу с 1 января 2022 года в связи с изданием приказа Федеральной службы по экологическому, технологическому и атомному надзору № 352 и Министерства энергетики Российской Федерации № 785 от 15 сентября 2020 года); Правилами охраны газораспределительных сетей, утвержденными постановлением Правительства Российской Федерации от 20 ноября 2000 года № 878; Правилами охраны магистральных газопроводов, утвержденными постановлением Правительства Российской Федерации от 8 сентября 2017 года № 1083; Сводом правил «СП 36.13330.2012. Свод правил. Магистральные трубопроводы. Актуализированная редакция СНиП 2.05.06-85*», утвержденным приказом Федерального агентства по строительству и жилищно-коммунальному хозяйству от 25 декабря 2012 года № 108/ГС.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21. Охранная зона гидроэнергетического объекта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соответствии с водным кодексом Российской Федерации для обеспечения безопасного и безаварийного функционирования, безопасной эксплуатации гидроэнергетических объектов в акваториях водных объектов, на участках береговой полосы (в том числе участках примыкания к гидроэнергетическим объектам), участках поймы устанавливаются охранные зоны с особыми условиями водопользования и использования участков береговой полосы (в том числе участков примыкания к гидроэнергетическим объектам). 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Правила установления охранных зон для гидроэнергетических объектов утверждены постановлением Правительства Российской Федерации от 6 сентября 2012 года № 884.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22. Охранная зона тепловых сетей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 в соответствии с Типовыми правилами охраны коммунальных тепловых сетей, утвержденными Приказом Минстроя России от 17 августа 1992 года № 197.</w:t>
      </w: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  <w:lang w:eastAsia="zh-CN"/>
        </w:rPr>
      </w:pPr>
    </w:p>
    <w:p>
      <w:pPr>
        <w:tabs>
          <w:tab w:val="left" w:pos="0"/>
        </w:tabs>
        <w:suppressAutoHyphens/>
        <w:autoSpaceDE w:val="0"/>
        <w:ind w:firstLine="709"/>
        <w:jc w:val="both"/>
        <w:rPr>
          <w:sz w:val="26"/>
          <w:szCs w:val="26"/>
        </w:rPr>
      </w:pPr>
    </w:p>
    <w:sectPr>
      <w:headerReference w:type="default" r:id="rId13"/>
      <w:head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69">
    <w:charset w:val="CC"/>
    <w:family w:val="auto"/>
    <w:pitch w:val="variable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409170"/>
      <w:docPartObj>
        <w:docPartGallery w:val="Page Numbers (Bottom of Page)"/>
        <w:docPartUnique/>
      </w:docPartObj>
    </w:sdtPr>
    <w:sdtContent>
      <w:p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556537"/>
      <w:docPartObj>
        <w:docPartGallery w:val="Page Numbers (Bottom of Page)"/>
        <w:docPartUnique/>
      </w:docPartObj>
    </w:sdtPr>
    <w:sdtContent>
      <w:p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  <w:r>
      <w:rPr>
        <w:noProof/>
      </w:rPr>
      <w:pict>
        <v:rect id="_x0000_s2051" style="position:absolute;margin-left:-32.95pt;margin-top:-8.1pt;width:515.8pt;height:785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  <w:r>
      <w:rPr>
        <w:noProof/>
      </w:rPr>
      <w:pict>
        <v:rect id="Прямоугольник 181" o:spid="_x0000_s2049" style="position:absolute;margin-left:-25.1pt;margin-top:-8.4pt;width:515.8pt;height:78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oRIwMAAF8GAAAOAAAAZHJzL2Uyb0RvYy54bWysVcuK2zAU3Rf6D0J7j+3ESZwwzpBxklLo&#10;Y2BaulZsORa1JVdSxpmWQqHbQj+hH9FN6WO+wfmjXslJJpnZlDIKGF09ju4595HTs3VZoCsqFRM8&#10;wv6JhxHliUgZX0b49au5E2KkNOEpKQSnEb6mCp+NHz86rasR7YhcFCmVCEC4GtVVhHOtq5HrqiSn&#10;JVEnoqIcNjMhS6LBlEs3laQG9LJwO57Xd2sh00qKhCoFq9N2E48tfpbRRL/MMkU1KiIMvmn7lfa7&#10;MF93fEpGS0mqnCVbN8h/eFESxuHRPdSUaIJWkt2DKlkihRKZPklE6YosYwm1HICN791hc5mTilou&#10;II6q9jKph4NNXlxdSMRSiF0X9OGkhCA13zafNl+b383N5nPzvblpfm2+NH+aH81P5Ie+0ayu1Aiu&#10;XlYX0rBW1TORvFWIizgnfEknqgLlARMQd0tSijqnJAXnLYR7hGEMBWhoUT8XKfhAVlpYRdeZLM0b&#10;oBVa28Bd7wNH1xolsNjv9bx+H/xPYM/3/OGwO7Cxdclod7+SSj+hokRmEmEJDlp8cvVMaaAER3dH&#10;zHNczFlR2PQoOKoj3IHRszeUKFhqdi11uVzEhURXxGSYHUYgQDs6VjINeV6wMsLh/hAZGUFmPLXP&#10;aMKKdg6XC27Aqc3g1j+w1hqmdh142+z6MPSGs3AWBk7Q6c+cwJtOnck8Dpz+3B/0pt1pHE/9j8Zr&#10;PxjlLE0pN47vMt0P/i2TtjXX5ug+148IqkMd5nbc18E9dsPKBKyOKU3mPW8QdENnMOh1naA785zz&#10;cB47k9jv9wez8/h8dofSzMqkHobVXnPjlVhB2C7ztEYpM1nT7Q07kNQpgxbSGbSBRKRYQu9LtMRI&#10;Cv2G6dwWrslSg3GkTOiZ31aZPXorxC7YxtqHa8vtVipIjl0i2BIyVdMW5EKk11BB4IN52nRlmORC&#10;vseohg4XYfVuRSTFqHjKoQqHfhCYlmiNoDfogCEPdxaHO4QnABVhjVE7jXXbRleVZMscXvItWy4m&#10;ULkZsyVlqrr1Cvw3BnQxy2TbcU2bPLTtqdv/hfFfAAAA//8DAFBLAwQUAAYACAAAACEA/5SgYeEA&#10;AAAMAQAADwAAAGRycy9kb3ducmV2LnhtbEyPQUvDQBCF74L/YRnBm91sE0uJ2RRRiyBerIJ422Sn&#10;STA7G7LbNP33Tk/29h7v8eabYjO7Xkw4hs6TBrVIQCDV3nbUaPj63N6tQYRoyJreE2o4YYBNeX1V&#10;mNz6I33gtIuN4BEKudHQxjjkUoa6RWfCwg9InO396ExkOzbSjubI466XyyRZSWc64gutGfCpxfp3&#10;d3Aa7uvqrXHh5Xnv3q3ann5ep/471fr2Zn58ABFxjv9lOOMzOpTMVPkD2SB69koxetSQLRWIc0Fl&#10;aQaiYrXK1inIspCXT5R/AAAA//8DAFBLAQItABQABgAIAAAAIQC2gziS/gAAAOEBAAATAAAAAAAA&#10;AAAAAAAAAAAAAABbQ29udGVudF9UeXBlc10ueG1sUEsBAi0AFAAGAAgAAAAhADj9If/WAAAAlAEA&#10;AAsAAAAAAAAAAAAAAAAALwEAAF9yZWxzLy5yZWxzUEsBAi0AFAAGAAgAAAAhAASTahEjAwAAXwYA&#10;AA4AAAAAAAAAAAAAAAAALgIAAGRycy9lMm9Eb2MueG1sUEsBAi0AFAAGAAgAAAAhAP+UoGHhAAAA&#10;DAEAAA8AAAAAAAAAAAAAAAAAfQUAAGRycy9kb3ducmV2LnhtbFBLBQYAAAAABAAEAPMAAACLBgAA&#10;AAA=&#10;" o:allowincell="f" filled="f" strokeweight="1.75pt">
          <o:lock v:ext="edit" aspectratio="t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  <w:jc w:val="center"/>
    </w:pPr>
  </w:p>
  <w:p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61C13A6"/>
    <w:multiLevelType w:val="hybridMultilevel"/>
    <w:tmpl w:val="EF34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4B78"/>
    <w:multiLevelType w:val="hybridMultilevel"/>
    <w:tmpl w:val="B2D4DBFA"/>
    <w:lvl w:ilvl="0" w:tplc="BDF602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E70BE"/>
    <w:multiLevelType w:val="hybridMultilevel"/>
    <w:tmpl w:val="302A47E6"/>
    <w:lvl w:ilvl="0" w:tplc="9C90D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E35E44"/>
    <w:multiLevelType w:val="multilevel"/>
    <w:tmpl w:val="11E35E44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7575E9A"/>
    <w:multiLevelType w:val="multilevel"/>
    <w:tmpl w:val="7DEAF230"/>
    <w:lvl w:ilvl="0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824816"/>
    <w:multiLevelType w:val="multilevel"/>
    <w:tmpl w:val="36824816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FE1F49"/>
    <w:multiLevelType w:val="hybridMultilevel"/>
    <w:tmpl w:val="D242DF10"/>
    <w:lvl w:ilvl="0" w:tplc="914EE0C6">
      <w:start w:val="1"/>
      <w:numFmt w:val="decimal"/>
      <w:lvlText w:val="%1."/>
      <w:lvlJc w:val="left"/>
      <w:pPr>
        <w:ind w:left="720" w:hanging="360"/>
      </w:pPr>
    </w:lvl>
    <w:lvl w:ilvl="1" w:tplc="A4909962" w:tentative="1">
      <w:start w:val="1"/>
      <w:numFmt w:val="lowerLetter"/>
      <w:lvlText w:val="%2."/>
      <w:lvlJc w:val="left"/>
      <w:pPr>
        <w:ind w:left="1440" w:hanging="360"/>
      </w:pPr>
    </w:lvl>
    <w:lvl w:ilvl="2" w:tplc="AD40FF92" w:tentative="1">
      <w:start w:val="1"/>
      <w:numFmt w:val="lowerRoman"/>
      <w:lvlText w:val="%3."/>
      <w:lvlJc w:val="right"/>
      <w:pPr>
        <w:ind w:left="2160" w:hanging="180"/>
      </w:pPr>
    </w:lvl>
    <w:lvl w:ilvl="3" w:tplc="305ED614" w:tentative="1">
      <w:start w:val="1"/>
      <w:numFmt w:val="decimal"/>
      <w:lvlText w:val="%4."/>
      <w:lvlJc w:val="left"/>
      <w:pPr>
        <w:ind w:left="2880" w:hanging="360"/>
      </w:pPr>
    </w:lvl>
    <w:lvl w:ilvl="4" w:tplc="6046E1F6" w:tentative="1">
      <w:start w:val="1"/>
      <w:numFmt w:val="lowerLetter"/>
      <w:lvlText w:val="%5."/>
      <w:lvlJc w:val="left"/>
      <w:pPr>
        <w:ind w:left="3600" w:hanging="360"/>
      </w:pPr>
    </w:lvl>
    <w:lvl w:ilvl="5" w:tplc="24CE71B6" w:tentative="1">
      <w:start w:val="1"/>
      <w:numFmt w:val="lowerRoman"/>
      <w:lvlText w:val="%6."/>
      <w:lvlJc w:val="right"/>
      <w:pPr>
        <w:ind w:left="4320" w:hanging="180"/>
      </w:pPr>
    </w:lvl>
    <w:lvl w:ilvl="6" w:tplc="D48A49D2" w:tentative="1">
      <w:start w:val="1"/>
      <w:numFmt w:val="decimal"/>
      <w:lvlText w:val="%7."/>
      <w:lvlJc w:val="left"/>
      <w:pPr>
        <w:ind w:left="5040" w:hanging="360"/>
      </w:pPr>
    </w:lvl>
    <w:lvl w:ilvl="7" w:tplc="6AC20108" w:tentative="1">
      <w:start w:val="1"/>
      <w:numFmt w:val="lowerLetter"/>
      <w:lvlText w:val="%8."/>
      <w:lvlJc w:val="left"/>
      <w:pPr>
        <w:ind w:left="5760" w:hanging="360"/>
      </w:pPr>
    </w:lvl>
    <w:lvl w:ilvl="8" w:tplc="F6A4B4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B07AB"/>
    <w:multiLevelType w:val="hybridMultilevel"/>
    <w:tmpl w:val="C1C6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84BF6"/>
    <w:multiLevelType w:val="hybridMultilevel"/>
    <w:tmpl w:val="ABCE9AC6"/>
    <w:lvl w:ilvl="0" w:tplc="0419000F">
      <w:start w:val="1"/>
      <w:numFmt w:val="decimal"/>
      <w:lvlText w:val="%1)"/>
      <w:lvlJc w:val="left"/>
      <w:pPr>
        <w:ind w:left="1429" w:hanging="360"/>
      </w:pPr>
    </w:lvl>
    <w:lvl w:ilvl="1" w:tplc="04190011" w:tentative="1">
      <w:start w:val="1"/>
      <w:numFmt w:val="lowerLetter"/>
      <w:lvlText w:val="%2."/>
      <w:lvlJc w:val="left"/>
      <w:pPr>
        <w:ind w:left="2149" w:hanging="360"/>
      </w:pPr>
    </w:lvl>
    <w:lvl w:ilvl="2" w:tplc="04190011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DB01C8C"/>
    <w:multiLevelType w:val="hybridMultilevel"/>
    <w:tmpl w:val="65D657B2"/>
    <w:lvl w:ilvl="0" w:tplc="A072DC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4251A5"/>
    <w:multiLevelType w:val="multilevel"/>
    <w:tmpl w:val="534251A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06F4848"/>
    <w:multiLevelType w:val="hybridMultilevel"/>
    <w:tmpl w:val="8A848422"/>
    <w:lvl w:ilvl="0" w:tplc="D3F4C4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627CE"/>
    <w:multiLevelType w:val="multilevel"/>
    <w:tmpl w:val="62162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2E7AE3"/>
    <w:multiLevelType w:val="hybridMultilevel"/>
    <w:tmpl w:val="290E8D24"/>
    <w:lvl w:ilvl="0" w:tplc="4D04E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508276B"/>
    <w:multiLevelType w:val="hybridMultilevel"/>
    <w:tmpl w:val="43EE5EAA"/>
    <w:lvl w:ilvl="0" w:tplc="4984B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B43803"/>
    <w:multiLevelType w:val="hybridMultilevel"/>
    <w:tmpl w:val="BEA66174"/>
    <w:lvl w:ilvl="0" w:tplc="5DE82016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63AE9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384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2880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1893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E475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8E1C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A1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C0A8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6306C"/>
    <w:multiLevelType w:val="hybridMultilevel"/>
    <w:tmpl w:val="99F839E8"/>
    <w:lvl w:ilvl="0" w:tplc="3B56C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B66FAA"/>
    <w:multiLevelType w:val="hybridMultilevel"/>
    <w:tmpl w:val="7C3C7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18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3"/>
  </w:num>
  <w:num w:numId="19">
    <w:abstractNumId w:val="12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34E9311-9B8A-4369-BA1F-9C8DF716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pPr>
      <w:keepNext/>
      <w:tabs>
        <w:tab w:val="num" w:pos="0"/>
      </w:tabs>
      <w:suppressAutoHyphens/>
      <w:jc w:val="both"/>
      <w:outlineLvl w:val="5"/>
    </w:pPr>
    <w:rPr>
      <w:b/>
      <w:bCs/>
      <w:u w:val="single"/>
      <w:lang w:eastAsia="zh-CN"/>
    </w:rPr>
  </w:style>
  <w:style w:type="paragraph" w:styleId="7">
    <w:name w:val="heading 7"/>
    <w:basedOn w:val="a"/>
    <w:next w:val="a"/>
    <w:link w:val="70"/>
    <w:qFormat/>
    <w:pPr>
      <w:keepNext/>
      <w:tabs>
        <w:tab w:val="num" w:pos="0"/>
      </w:tabs>
      <w:suppressAutoHyphens/>
      <w:jc w:val="center"/>
      <w:outlineLvl w:val="6"/>
    </w:pPr>
    <w:rPr>
      <w:b/>
      <w:bCs/>
      <w:color w:val="000000"/>
      <w:u w:val="single"/>
      <w:lang w:eastAsia="zh-CN"/>
    </w:rPr>
  </w:style>
  <w:style w:type="paragraph" w:styleId="8">
    <w:name w:val="heading 8"/>
    <w:basedOn w:val="a"/>
    <w:next w:val="a"/>
    <w:link w:val="80"/>
    <w:qFormat/>
    <w:pPr>
      <w:keepNext/>
      <w:tabs>
        <w:tab w:val="num" w:pos="0"/>
        <w:tab w:val="left" w:pos="1440"/>
      </w:tabs>
      <w:suppressAutoHyphens/>
      <w:ind w:left="1440" w:hanging="432"/>
      <w:jc w:val="both"/>
      <w:outlineLvl w:val="7"/>
    </w:pPr>
    <w:rPr>
      <w:b/>
      <w:bCs/>
      <w:lang w:eastAsia="zh-CN"/>
    </w:rPr>
  </w:style>
  <w:style w:type="paragraph" w:styleId="9">
    <w:name w:val="heading 9"/>
    <w:basedOn w:val="a"/>
    <w:next w:val="a"/>
    <w:link w:val="90"/>
    <w:qFormat/>
    <w:pPr>
      <w:keepNext/>
      <w:tabs>
        <w:tab w:val="num" w:pos="0"/>
        <w:tab w:val="left" w:pos="1584"/>
      </w:tabs>
      <w:suppressAutoHyphens/>
      <w:ind w:left="1584" w:hanging="144"/>
      <w:jc w:val="both"/>
      <w:outlineLvl w:val="8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aliases w:val="Обычный (веб)1,Обычный (веб) Знак,Обычный (веб) Знак1,Обычный (веб) Знак Знак"/>
    <w:basedOn w:val="a"/>
    <w:qFormat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текст 1"/>
    <w:basedOn w:val="a"/>
    <w:next w:val="a"/>
    <w:pPr>
      <w:ind w:firstLine="540"/>
      <w:jc w:val="both"/>
    </w:pPr>
    <w:rPr>
      <w:sz w:val="20"/>
    </w:rPr>
  </w:style>
  <w:style w:type="paragraph" w:customStyle="1" w:styleId="Iauiue">
    <w:name w:val="Iau?iue"/>
    <w:pPr>
      <w:widowControl w:val="0"/>
    </w:pPr>
    <w:rPr>
      <w:rFonts w:ascii="Times New Roman" w:eastAsia="Times New Roman" w:hAnsi="Times New Roman"/>
    </w:rPr>
  </w:style>
  <w:style w:type="paragraph" w:customStyle="1" w:styleId="nienie">
    <w:name w:val="nienie"/>
    <w:basedOn w:val="Iauiue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western">
    <w:name w:val="western"/>
    <w:basedOn w:val="a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List Bullet"/>
    <w:basedOn w:val="a"/>
    <w:link w:val="a6"/>
    <w:autoRedefine/>
    <w:pPr>
      <w:keepNext/>
      <w:shd w:val="clear" w:color="auto" w:fill="FFFFFF"/>
      <w:autoSpaceDE w:val="0"/>
      <w:autoSpaceDN w:val="0"/>
      <w:adjustRightInd w:val="0"/>
      <w:ind w:right="-28"/>
      <w:jc w:val="both"/>
    </w:pPr>
    <w:rPr>
      <w:rFonts w:ascii="Calibri" w:eastAsia="Calibri" w:hAnsi="Calibri"/>
    </w:rPr>
  </w:style>
  <w:style w:type="character" w:customStyle="1" w:styleId="a6">
    <w:name w:val="Маркированный список Знак"/>
    <w:link w:val="a5"/>
    <w:rPr>
      <w:sz w:val="24"/>
      <w:szCs w:val="24"/>
      <w:lang w:val="ru-RU" w:eastAsia="ru-RU" w:bidi="ar-SA"/>
    </w:rPr>
  </w:style>
  <w:style w:type="paragraph" w:styleId="a7">
    <w:name w:val="Body Text"/>
    <w:basedOn w:val="a"/>
    <w:link w:val="a8"/>
    <w:pPr>
      <w:jc w:val="both"/>
    </w:pPr>
    <w:rPr>
      <w:rFonts w:ascii="Calibri" w:eastAsia="Calibri" w:hAnsi="Calibri"/>
      <w:noProof/>
    </w:rPr>
  </w:style>
  <w:style w:type="character" w:customStyle="1" w:styleId="a8">
    <w:name w:val="Основной текст Знак"/>
    <w:link w:val="a7"/>
    <w:rPr>
      <w:noProof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Pr>
      <w:rFonts w:ascii="Tahoma" w:eastAsia="Times New Roman" w:hAnsi="Tahoma" w:cs="Tahoma"/>
      <w:sz w:val="16"/>
      <w:szCs w:val="16"/>
    </w:rPr>
  </w:style>
  <w:style w:type="character" w:customStyle="1" w:styleId="15">
    <w:name w:val="Знак Знак15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2">
    <w:name w:val="Знак Знак1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0">
    <w:name w:val="Знак Знак11"/>
    <w:rPr>
      <w:rFonts w:ascii="Calibri" w:eastAsia="Calibri" w:hAnsi="Calibri" w:cs="Times New Roman"/>
      <w:sz w:val="24"/>
      <w:szCs w:val="24"/>
      <w:shd w:val="clear" w:color="auto" w:fill="FFFFFF"/>
      <w:lang w:eastAsia="ru-RU"/>
    </w:rPr>
  </w:style>
  <w:style w:type="character" w:customStyle="1" w:styleId="91">
    <w:name w:val="Знак Знак9"/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rPr>
      <w:rFonts w:ascii="Tahoma" w:eastAsia="Times New Roman" w:hAnsi="Tahoma" w:cs="Times New Roman"/>
      <w:sz w:val="16"/>
      <w:szCs w:val="16"/>
    </w:rPr>
  </w:style>
  <w:style w:type="character" w:customStyle="1" w:styleId="111">
    <w:name w:val="Заголовок 1 Знак1"/>
    <w:aliases w:val="Заголовок 1 Знак Знак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lang w:eastAsia="zh-CN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zh-CN"/>
    </w:rPr>
  </w:style>
  <w:style w:type="paragraph" w:styleId="af">
    <w:name w:val="Title"/>
    <w:basedOn w:val="a"/>
    <w:link w:val="af0"/>
    <w:qFormat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f0">
    <w:name w:val="Заголовок Знак"/>
    <w:link w:val="af"/>
    <w:rPr>
      <w:sz w:val="28"/>
      <w:szCs w:val="28"/>
      <w:lang w:val="ru-RU" w:eastAsia="ru-RU" w:bidi="ar-SA"/>
    </w:rPr>
  </w:style>
  <w:style w:type="paragraph" w:customStyle="1" w:styleId="--">
    <w:name w:val="- СТРАНИЦА -"/>
    <w:rPr>
      <w:rFonts w:ascii="Times New Roman" w:eastAsia="Times New Roman" w:hAnsi="Times New Roman"/>
    </w:rPr>
  </w:style>
  <w:style w:type="character" w:styleId="af1">
    <w:name w:val="page number"/>
  </w:style>
  <w:style w:type="paragraph" w:customStyle="1" w:styleId="af2">
    <w:name w:val="Îáû÷íûé"/>
    <w:rPr>
      <w:rFonts w:ascii="Times New Roman" w:eastAsia="Times New Roman" w:hAnsi="Times New Roman"/>
      <w:lang w:val="en-US"/>
    </w:rPr>
  </w:style>
  <w:style w:type="paragraph" w:styleId="af3">
    <w:name w:val="Block Text"/>
    <w:basedOn w:val="a"/>
    <w:pPr>
      <w:tabs>
        <w:tab w:val="left" w:pos="10440"/>
      </w:tabs>
      <w:spacing w:before="120"/>
      <w:ind w:left="360" w:right="333"/>
      <w:jc w:val="both"/>
    </w:pPr>
    <w:rPr>
      <w:b/>
      <w:bCs/>
    </w:rPr>
  </w:style>
  <w:style w:type="paragraph" w:styleId="af4">
    <w:name w:val="Body Text Indent"/>
    <w:basedOn w:val="a"/>
    <w:pPr>
      <w:spacing w:after="120"/>
      <w:ind w:left="283"/>
    </w:p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23">
    <w:name w:val="Body Text 2"/>
    <w:basedOn w:val="a"/>
    <w:pPr>
      <w:widowControl w:val="0"/>
      <w:autoSpaceDE w:val="0"/>
      <w:autoSpaceDN w:val="0"/>
      <w:adjustRightInd w:val="0"/>
      <w:ind w:left="540" w:firstLine="720"/>
      <w:jc w:val="both"/>
    </w:pPr>
    <w:rPr>
      <w:color w:val="FF0000"/>
      <w:sz w:val="22"/>
      <w:szCs w:val="22"/>
    </w:rPr>
  </w:style>
  <w:style w:type="paragraph" w:styleId="31">
    <w:name w:val="Body Text Indent 3"/>
    <w:basedOn w:val="a"/>
    <w:pPr>
      <w:ind w:left="540" w:firstLine="720"/>
      <w:jc w:val="both"/>
    </w:pPr>
    <w:rPr>
      <w:sz w:val="22"/>
      <w:szCs w:val="22"/>
    </w:rPr>
  </w:style>
  <w:style w:type="character" w:customStyle="1" w:styleId="13">
    <w:name w:val="Заголовок 1 Знак Знак"/>
    <w:rPr>
      <w:b/>
      <w:bCs/>
      <w:sz w:val="28"/>
      <w:szCs w:val="28"/>
      <w:lang w:val="ru-RU" w:eastAsia="ru-RU" w:bidi="ar-SA"/>
    </w:rPr>
  </w:style>
  <w:style w:type="character" w:styleId="af5">
    <w:name w:val="Emphasis"/>
    <w:uiPriority w:val="20"/>
    <w:qFormat/>
    <w:rPr>
      <w:i/>
      <w:iCs/>
    </w:rPr>
  </w:style>
  <w:style w:type="paragraph" w:customStyle="1" w:styleId="ConsPlusNormal">
    <w:name w:val="ConsPlusNormal"/>
    <w:link w:val="ConsPlusNormal0"/>
    <w:qFormat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">
    <w:name w:val="S_Титульный"/>
    <w:basedOn w:val="a"/>
    <w:pPr>
      <w:spacing w:line="360" w:lineRule="auto"/>
      <w:ind w:left="3060"/>
      <w:jc w:val="right"/>
    </w:pPr>
    <w:rPr>
      <w:b/>
      <w:caps/>
    </w:rPr>
  </w:style>
  <w:style w:type="paragraph" w:customStyle="1" w:styleId="af6">
    <w:name w:val="Таблица"/>
    <w:basedOn w:val="a"/>
    <w:pPr>
      <w:jc w:val="both"/>
    </w:pPr>
  </w:style>
  <w:style w:type="paragraph" w:styleId="af7">
    <w:name w:val="footnote text"/>
    <w:basedOn w:val="a"/>
    <w:rPr>
      <w:sz w:val="20"/>
      <w:szCs w:val="20"/>
    </w:rPr>
  </w:style>
  <w:style w:type="character" w:styleId="af8">
    <w:name w:val="footnote reference"/>
    <w:rPr>
      <w:vertAlign w:val="superscript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table" w:styleId="af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Pr>
      <w:rFonts w:ascii="Arial" w:hAnsi="Arial" w:cs="Arial"/>
      <w:sz w:val="20"/>
      <w:szCs w:val="20"/>
    </w:rPr>
  </w:style>
  <w:style w:type="character" w:styleId="afb">
    <w:name w:val="endnote reference"/>
    <w:uiPriority w:val="99"/>
    <w:qFormat/>
    <w:rPr>
      <w:vertAlign w:val="superscript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afc">
    <w:name w:val="Абзац"/>
    <w:basedOn w:val="a"/>
    <w:link w:val="afd"/>
    <w:qFormat/>
    <w:pPr>
      <w:spacing w:before="120" w:after="60"/>
      <w:ind w:firstLine="567"/>
      <w:jc w:val="both"/>
    </w:pPr>
    <w:rPr>
      <w:lang w:val="zh-CN" w:eastAsia="zh-CN"/>
    </w:rPr>
  </w:style>
  <w:style w:type="character" w:customStyle="1" w:styleId="afd">
    <w:name w:val="Абзац Знак"/>
    <w:link w:val="afc"/>
    <w:rPr>
      <w:rFonts w:ascii="Times New Roman" w:eastAsia="Times New Roman" w:hAnsi="Times New Roman"/>
      <w:sz w:val="24"/>
      <w:szCs w:val="24"/>
      <w:lang w:val="zh-CN" w:eastAsia="zh-CN"/>
    </w:rPr>
  </w:style>
  <w:style w:type="paragraph" w:styleId="afe">
    <w:name w:val="List Paragraph"/>
    <w:aliases w:val="ПАРАГРАФ,Абзац списка11"/>
    <w:basedOn w:val="a"/>
    <w:link w:val="aff"/>
    <w:uiPriority w:val="34"/>
    <w:qFormat/>
    <w:pPr>
      <w:spacing w:line="360" w:lineRule="auto"/>
      <w:ind w:left="708" w:firstLine="680"/>
      <w:jc w:val="both"/>
    </w:pPr>
  </w:style>
  <w:style w:type="character" w:customStyle="1" w:styleId="aff">
    <w:name w:val="Абзац списка Знак"/>
    <w:aliases w:val="ПАРАГРАФ Знак,Абзац списка11 Знак"/>
    <w:link w:val="afe"/>
    <w:uiPriority w:val="34"/>
    <w:qFormat/>
    <w:locked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</w:rPr>
  </w:style>
  <w:style w:type="paragraph" w:customStyle="1" w:styleId="32">
    <w:name w:val="Абзац списка3"/>
    <w:basedOn w:val="a"/>
    <w:pPr>
      <w:widowControl w:val="0"/>
      <w:suppressAutoHyphens/>
      <w:spacing w:line="360" w:lineRule="auto"/>
      <w:ind w:left="708" w:firstLine="680"/>
      <w:jc w:val="both"/>
    </w:pPr>
    <w:rPr>
      <w:rFonts w:eastAsia="SimSun"/>
      <w:kern w:val="1"/>
      <w:lang w:eastAsia="hi-IN" w:bidi="hi-IN"/>
    </w:rPr>
  </w:style>
  <w:style w:type="paragraph" w:styleId="14">
    <w:name w:val="toc 1"/>
    <w:basedOn w:val="a"/>
    <w:next w:val="a"/>
    <w:uiPriority w:val="39"/>
    <w:qFormat/>
    <w:pPr>
      <w:spacing w:before="120" w:after="120"/>
    </w:pPr>
    <w:rPr>
      <w:b/>
      <w:bCs/>
      <w:caps/>
      <w:sz w:val="20"/>
      <w:szCs w:val="20"/>
    </w:rPr>
  </w:style>
  <w:style w:type="paragraph" w:customStyle="1" w:styleId="16">
    <w:name w:val="Заголовок оглавления1"/>
    <w:basedOn w:val="1"/>
    <w:next w:val="a"/>
    <w:uiPriority w:val="39"/>
    <w:qFormat/>
    <w:pPr>
      <w:keepNext w:val="0"/>
      <w:pBdr>
        <w:bottom w:val="single" w:sz="12" w:space="1" w:color="365F91"/>
      </w:pBdr>
      <w:spacing w:before="600" w:after="80" w:line="360" w:lineRule="auto"/>
      <w:ind w:firstLine="680"/>
      <w:jc w:val="both"/>
      <w:outlineLvl w:val="9"/>
    </w:pPr>
    <w:rPr>
      <w:rFonts w:ascii="Cambria" w:hAnsi="Cambria"/>
      <w:color w:val="365F91"/>
      <w:kern w:val="0"/>
      <w:sz w:val="24"/>
      <w:szCs w:val="24"/>
      <w:lang w:val="zh-CN" w:eastAsia="zh-CN"/>
    </w:rPr>
  </w:style>
  <w:style w:type="paragraph" w:styleId="aff0">
    <w:name w:val="TOC Heading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en-US"/>
    </w:rPr>
  </w:style>
  <w:style w:type="paragraph" w:styleId="24">
    <w:name w:val="toc 2"/>
    <w:basedOn w:val="a"/>
    <w:next w:val="a"/>
    <w:autoRedefine/>
    <w:uiPriority w:val="39"/>
    <w:qFormat/>
    <w:pPr>
      <w:spacing w:after="100"/>
      <w:ind w:left="240"/>
    </w:pPr>
  </w:style>
  <w:style w:type="paragraph" w:styleId="33">
    <w:name w:val="toc 3"/>
    <w:basedOn w:val="a"/>
    <w:next w:val="a"/>
    <w:autoRedefine/>
    <w:uiPriority w:val="39"/>
    <w:qFormat/>
    <w:pPr>
      <w:spacing w:after="100"/>
      <w:ind w:left="480"/>
    </w:pPr>
  </w:style>
  <w:style w:type="character" w:customStyle="1" w:styleId="50">
    <w:name w:val="Заголовок 5 Знак"/>
    <w:basedOn w:val="a0"/>
    <w:link w:val="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WW8Num12z0">
    <w:name w:val="WW8Num12z0"/>
    <w:rPr>
      <w:rFonts w:ascii="Arial" w:hAnsi="Arial"/>
    </w:rPr>
  </w:style>
  <w:style w:type="paragraph" w:customStyle="1" w:styleId="aff1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2">
    <w:name w:val="Обычный с первой строкой"/>
    <w:basedOn w:val="a"/>
    <w:qFormat/>
    <w:pPr>
      <w:suppressAutoHyphens/>
      <w:ind w:firstLine="567"/>
      <w:jc w:val="both"/>
    </w:pPr>
    <w:rPr>
      <w:sz w:val="28"/>
      <w:szCs w:val="28"/>
      <w:lang w:eastAsia="ar-SA"/>
    </w:rPr>
  </w:style>
  <w:style w:type="paragraph" w:customStyle="1" w:styleId="b983e748ee29d1c769643339abe5a937874f64e174a5ef80a">
    <w:name w:val="b983e748ee29d1c769643339abe5a937874f64e174a5ef80a"/>
    <w:basedOn w:val="a"/>
    <w:pPr>
      <w:spacing w:before="100" w:beforeAutospacing="1" w:after="100" w:afterAutospacing="1"/>
    </w:pPr>
  </w:style>
  <w:style w:type="character" w:customStyle="1" w:styleId="a7839e56e16bf061f402c4e5475ac1bb43cdae5a3ebdd760object">
    <w:name w:val="a7839e56e16bf061f402c4e5475ac1bb43cdae5a3ebdd760object"/>
    <w:basedOn w:val="a0"/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/>
      <w:b/>
      <w:bCs/>
      <w:sz w:val="24"/>
      <w:szCs w:val="24"/>
      <w:u w:val="single"/>
      <w:lang w:eastAsia="zh-CN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/>
      <w:b/>
      <w:bCs/>
      <w:color w:val="000000"/>
      <w:sz w:val="24"/>
      <w:szCs w:val="24"/>
      <w:u w:val="single"/>
      <w:lang w:eastAsia="zh-CN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f3">
    <w:name w:val="таблица"/>
    <w:basedOn w:val="ConsPlusNormal"/>
    <w:qFormat/>
    <w:pPr>
      <w:suppressAutoHyphens/>
      <w:autoSpaceDN/>
      <w:adjustRightInd/>
      <w:ind w:firstLine="0"/>
    </w:pPr>
    <w:rPr>
      <w:rFonts w:ascii="Times New Roman" w:eastAsia="Calibri" w:hAnsi="Times New Roman" w:cs="Times New Roman"/>
      <w:bCs/>
      <w:sz w:val="18"/>
      <w:szCs w:val="16"/>
      <w:lang w:eastAsia="zh-CN"/>
    </w:rPr>
  </w:style>
  <w:style w:type="paragraph" w:customStyle="1" w:styleId="17">
    <w:name w:val="Абзац списка1"/>
    <w:basedOn w:val="a"/>
    <w:pPr>
      <w:widowControl w:val="0"/>
      <w:suppressAutoHyphens/>
      <w:autoSpaceDE w:val="0"/>
      <w:spacing w:after="160" w:line="254" w:lineRule="auto"/>
      <w:ind w:left="720"/>
      <w:contextualSpacing/>
      <w:jc w:val="both"/>
    </w:pPr>
    <w:rPr>
      <w:rFonts w:ascii="Calibri" w:eastAsia="Calibri" w:hAnsi="Calibri" w:cs="font269"/>
      <w:sz w:val="26"/>
      <w:szCs w:val="20"/>
      <w:lang w:eastAsia="en-US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21">
    <w:name w:val="Маркированный список 21"/>
    <w:basedOn w:val="a"/>
    <w:pPr>
      <w:widowControl w:val="0"/>
      <w:numPr>
        <w:numId w:val="11"/>
      </w:numPr>
      <w:suppressAutoHyphens/>
      <w:autoSpaceDE w:val="0"/>
      <w:jc w:val="both"/>
    </w:pPr>
    <w:rPr>
      <w:sz w:val="26"/>
      <w:szCs w:val="20"/>
      <w:lang w:eastAsia="zh-CN"/>
    </w:rPr>
  </w:style>
  <w:style w:type="table" w:styleId="-2">
    <w:name w:val="Table Web 2"/>
    <w:basedOn w:val="a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4">
    <w:name w:val="Нормальный (таблица)"/>
    <w:basedOn w:val="a"/>
    <w:next w:val="a"/>
    <w:uiPriority w:val="99"/>
    <w:qFormat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character" w:customStyle="1" w:styleId="aff5">
    <w:name w:val="Цветовое выделение"/>
    <w:uiPriority w:val="99"/>
    <w:rPr>
      <w:b/>
      <w:bCs/>
      <w:color w:val="26282F"/>
    </w:rPr>
  </w:style>
  <w:style w:type="paragraph" w:styleId="41">
    <w:name w:val="toc 4"/>
    <w:basedOn w:val="a"/>
    <w:next w:val="a"/>
    <w:autoRedefine/>
    <w:uiPriority w:val="39"/>
    <w:unhideWhenUsed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D9E5-D98D-4D49-BC28-EF7BCAAD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42</Pages>
  <Words>12872</Words>
  <Characters>73374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7</vt:lpstr>
    </vt:vector>
  </TitlesOfParts>
  <Company/>
  <LinksUpToDate>false</LinksUpToDate>
  <CharactersWithSpaces>86074</CharactersWithSpaces>
  <SharedDoc>false</SharedDoc>
  <HLinks>
    <vt:vector size="12" baseType="variant">
      <vt:variant>
        <vt:i4>7144529</vt:i4>
      </vt:variant>
      <vt:variant>
        <vt:i4>3</vt:i4>
      </vt:variant>
      <vt:variant>
        <vt:i4>0</vt:i4>
      </vt:variant>
      <vt:variant>
        <vt:i4>5</vt:i4>
      </vt:variant>
      <vt:variant>
        <vt:lpwstr>заключение о публичных слушаниях.pdf</vt:lpwstr>
      </vt:variant>
      <vt:variant>
        <vt:lpwstr/>
      </vt:variant>
      <vt:variant>
        <vt:i4>2359400</vt:i4>
      </vt:variant>
      <vt:variant>
        <vt:i4>0</vt:i4>
      </vt:variant>
      <vt:variant>
        <vt:i4>0</vt:i4>
      </vt:variant>
      <vt:variant>
        <vt:i4>5</vt:i4>
      </vt:variant>
      <vt:variant>
        <vt:lpwstr>протокол (003).pdf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7</dc:title>
  <dc:subject/>
  <dc:creator>Admin_</dc:creator>
  <cp:keywords/>
  <dc:description/>
  <cp:lastModifiedBy>Пользователь</cp:lastModifiedBy>
  <cp:revision>108</cp:revision>
  <cp:lastPrinted>2022-09-27T11:10:00Z</cp:lastPrinted>
  <dcterms:created xsi:type="dcterms:W3CDTF">2019-05-13T08:43:00Z</dcterms:created>
  <dcterms:modified xsi:type="dcterms:W3CDTF">2023-09-07T11:15:00Z</dcterms:modified>
</cp:coreProperties>
</file>