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D6" w:rsidRPr="00C240D6" w:rsidRDefault="00C240D6" w:rsidP="00C240D6">
      <w:pPr>
        <w:pStyle w:val="a4"/>
        <w:shd w:val="clear" w:color="auto" w:fill="FFFFFF"/>
        <w:spacing w:before="0" w:beforeAutospacing="0" w:line="396" w:lineRule="atLeast"/>
        <w:jc w:val="both"/>
        <w:rPr>
          <w:color w:val="292B2C"/>
          <w:sz w:val="28"/>
          <w:szCs w:val="28"/>
        </w:rPr>
      </w:pPr>
      <w:r w:rsidRPr="00C240D6">
        <w:rPr>
          <w:color w:val="292B2C"/>
          <w:sz w:val="28"/>
          <w:szCs w:val="28"/>
        </w:rPr>
        <w:t>Закон Орловской области от 05.10.2015 г. № 1851-ОЗ «О государственной поддержке инвестиционной деятельности в Орловской области»</w:t>
      </w:r>
    </w:p>
    <w:p w:rsidR="00C240D6" w:rsidRPr="00C240D6" w:rsidRDefault="00C240D6" w:rsidP="00C240D6">
      <w:pPr>
        <w:pStyle w:val="3"/>
        <w:shd w:val="clear" w:color="auto" w:fill="FFFFFF"/>
        <w:spacing w:before="0" w:beforeAutospacing="0"/>
        <w:jc w:val="center"/>
        <w:rPr>
          <w:b w:val="0"/>
          <w:bCs w:val="0"/>
          <w:color w:val="292B2C"/>
          <w:sz w:val="24"/>
          <w:szCs w:val="24"/>
        </w:rPr>
      </w:pPr>
      <w:r w:rsidRPr="00C240D6">
        <w:rPr>
          <w:rStyle w:val="a5"/>
          <w:b/>
          <w:bCs/>
          <w:color w:val="292B2C"/>
          <w:sz w:val="24"/>
          <w:szCs w:val="24"/>
        </w:rPr>
        <w:t>ПЕРЕЧЕНЬ МЕР ГОСУДАРСТВЕННОЙ ПОДДЕРЖКИ</w:t>
      </w:r>
    </w:p>
    <w:tbl>
      <w:tblPr>
        <w:tblW w:w="10788" w:type="dxa"/>
        <w:tblBorders>
          <w:top w:val="single" w:sz="6" w:space="0" w:color="ECEEEF"/>
          <w:left w:val="single" w:sz="6" w:space="0" w:color="ECEEEF"/>
          <w:bottom w:val="single" w:sz="6" w:space="0" w:color="ECEEEF"/>
          <w:right w:val="single" w:sz="6" w:space="0" w:color="ECEEE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1"/>
        <w:gridCol w:w="2002"/>
        <w:gridCol w:w="3431"/>
        <w:gridCol w:w="1924"/>
      </w:tblGrid>
      <w:tr w:rsidR="00C240D6" w:rsidRPr="00C240D6" w:rsidTr="00C240D6">
        <w:trPr>
          <w:tblHeader/>
        </w:trPr>
        <w:tc>
          <w:tcPr>
            <w:tcW w:w="10788" w:type="dxa"/>
            <w:gridSpan w:val="4"/>
            <w:tcBorders>
              <w:top w:val="single" w:sz="6" w:space="0" w:color="ECEEEF"/>
              <w:left w:val="single" w:sz="6" w:space="0" w:color="ECEEEF"/>
              <w:bottom w:val="single" w:sz="12" w:space="0" w:color="ECEEEF"/>
              <w:right w:val="single" w:sz="6" w:space="0" w:color="ECEEEF"/>
            </w:tcBorders>
            <w:shd w:val="clear" w:color="auto" w:fill="548ED4"/>
            <w:vAlign w:val="bottom"/>
            <w:hideMark/>
          </w:tcPr>
          <w:p w:rsidR="00C240D6" w:rsidRPr="00C240D6" w:rsidRDefault="00C240D6">
            <w:pPr>
              <w:jc w:val="center"/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Налоговые преференции без заявительной основы</w:t>
            </w:r>
          </w:p>
        </w:tc>
      </w:tr>
      <w:tr w:rsidR="00C240D6" w:rsidRPr="00C240D6" w:rsidTr="00C240D6">
        <w:tc>
          <w:tcPr>
            <w:tcW w:w="5433" w:type="dxa"/>
            <w:gridSpan w:val="2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Закон Орловской области от 25.11.03</w:t>
            </w: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br/>
              <w:t>№ 364-ОЗ «О налоге на имущество организаций»</w:t>
            </w:r>
          </w:p>
        </w:tc>
        <w:tc>
          <w:tcPr>
            <w:tcW w:w="5355" w:type="dxa"/>
            <w:gridSpan w:val="2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Закон Орловской области от 05.09.14</w:t>
            </w: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br/>
              <w:t>№ 1650-ОЗ «О понижении налоговой ставки налога на прибыль организаций, зачисляемого в областной бюджет, для организаций, осуществляющих инвестиционную деятельность на территории Орловской области»</w:t>
            </w:r>
          </w:p>
        </w:tc>
      </w:tr>
      <w:tr w:rsidR="00C240D6" w:rsidRPr="00C240D6" w:rsidTr="00C240D6">
        <w:tc>
          <w:tcPr>
            <w:tcW w:w="0" w:type="auto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Общая сумма фактически осуществленных капитальных вложений в течение первых трех лет реализации инвестиционного проекта (млн. рублей)</w:t>
            </w:r>
          </w:p>
        </w:tc>
        <w:tc>
          <w:tcPr>
            <w:tcW w:w="2002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Период освобождения (количество последовательных налоговых периодов)</w:t>
            </w:r>
          </w:p>
        </w:tc>
        <w:tc>
          <w:tcPr>
            <w:tcW w:w="0" w:type="auto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Общая сумма фактически осуществленных капитальных вложений в течение первых трех лет реализации инвестиционного проекта (млн. рублей)</w:t>
            </w:r>
          </w:p>
        </w:tc>
        <w:tc>
          <w:tcPr>
            <w:tcW w:w="1924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Период действия налоговой ставки (количество последовательных налоговых периодов)</w:t>
            </w:r>
          </w:p>
        </w:tc>
      </w:tr>
      <w:tr w:rsidR="00C240D6" w:rsidRPr="00C240D6" w:rsidTr="00C240D6">
        <w:tc>
          <w:tcPr>
            <w:tcW w:w="0" w:type="auto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Свыше 100 до 250 включительно</w:t>
            </w:r>
          </w:p>
        </w:tc>
        <w:tc>
          <w:tcPr>
            <w:tcW w:w="2002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Свыше 100 до 250 включительно</w:t>
            </w:r>
          </w:p>
        </w:tc>
        <w:tc>
          <w:tcPr>
            <w:tcW w:w="1924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3</w:t>
            </w:r>
          </w:p>
        </w:tc>
      </w:tr>
      <w:tr w:rsidR="00C240D6" w:rsidRPr="00C240D6" w:rsidTr="00C240D6">
        <w:tc>
          <w:tcPr>
            <w:tcW w:w="0" w:type="auto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Свыше 250 до 3000 включительно</w:t>
            </w:r>
          </w:p>
        </w:tc>
        <w:tc>
          <w:tcPr>
            <w:tcW w:w="2002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Свыше 250 до 2000 включительно</w:t>
            </w:r>
          </w:p>
        </w:tc>
        <w:tc>
          <w:tcPr>
            <w:tcW w:w="1924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5</w:t>
            </w:r>
          </w:p>
        </w:tc>
      </w:tr>
      <w:tr w:rsidR="00C240D6" w:rsidRPr="00C240D6" w:rsidTr="00C240D6">
        <w:tc>
          <w:tcPr>
            <w:tcW w:w="0" w:type="auto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Свыше 3000</w:t>
            </w:r>
          </w:p>
        </w:tc>
        <w:tc>
          <w:tcPr>
            <w:tcW w:w="2002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Свыше 2000</w:t>
            </w:r>
          </w:p>
        </w:tc>
        <w:tc>
          <w:tcPr>
            <w:tcW w:w="1924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7</w:t>
            </w:r>
          </w:p>
        </w:tc>
      </w:tr>
      <w:tr w:rsidR="00C240D6" w:rsidRPr="00C240D6" w:rsidTr="00C240D6">
        <w:tc>
          <w:tcPr>
            <w:tcW w:w="10788" w:type="dxa"/>
            <w:gridSpan w:val="4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proofErr w:type="gramStart"/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Налоговые льготы предоставляются организациям, зарегистрированным и реализующим инвестиционные проекты на территории Орловской области, включенные в реестр инвестиционных проектов Орловской области, при этом, размер среднемесячной заработной платы в организации должен быть не ниже 2,5 величины прожиточного минимума для трудоспособного населения в Орловской области.</w:t>
            </w:r>
            <w:proofErr w:type="gramEnd"/>
          </w:p>
        </w:tc>
      </w:tr>
    </w:tbl>
    <w:p w:rsidR="00C240D6" w:rsidRPr="00C240D6" w:rsidRDefault="00C240D6" w:rsidP="00C240D6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788" w:type="dxa"/>
        <w:tblBorders>
          <w:top w:val="single" w:sz="6" w:space="0" w:color="ECEEEF"/>
          <w:left w:val="single" w:sz="6" w:space="0" w:color="ECEEEF"/>
          <w:bottom w:val="single" w:sz="6" w:space="0" w:color="ECEEEF"/>
          <w:right w:val="single" w:sz="6" w:space="0" w:color="ECEEE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8"/>
      </w:tblGrid>
      <w:tr w:rsidR="00C240D6" w:rsidRPr="00C240D6" w:rsidTr="00C240D6">
        <w:trPr>
          <w:tblHeader/>
        </w:trPr>
        <w:tc>
          <w:tcPr>
            <w:tcW w:w="10788" w:type="dxa"/>
            <w:tcBorders>
              <w:top w:val="single" w:sz="6" w:space="0" w:color="ECEEEF"/>
              <w:left w:val="single" w:sz="6" w:space="0" w:color="ECEEEF"/>
              <w:bottom w:val="single" w:sz="12" w:space="0" w:color="ECEEEF"/>
              <w:right w:val="single" w:sz="6" w:space="0" w:color="ECEEEF"/>
            </w:tcBorders>
            <w:shd w:val="clear" w:color="auto" w:fill="548ED4"/>
            <w:vAlign w:val="bottom"/>
            <w:hideMark/>
          </w:tcPr>
          <w:p w:rsidR="00C240D6" w:rsidRPr="00C240D6" w:rsidRDefault="00C240D6">
            <w:pPr>
              <w:jc w:val="center"/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</w:rPr>
            </w:pPr>
            <w:r w:rsidRPr="00C240D6">
              <w:rPr>
                <w:rStyle w:val="a5"/>
                <w:rFonts w:ascii="Times New Roman" w:hAnsi="Times New Roman" w:cs="Times New Roman"/>
                <w:color w:val="FFFFFF"/>
                <w:sz w:val="24"/>
                <w:szCs w:val="24"/>
              </w:rPr>
              <w:t>Налоговые преференции на заявительной основе</w:t>
            </w:r>
          </w:p>
        </w:tc>
      </w:tr>
      <w:tr w:rsidR="00C240D6" w:rsidRPr="00C240D6" w:rsidTr="00C240D6">
        <w:tc>
          <w:tcPr>
            <w:tcW w:w="10788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Постановление Правительства Орловской области от 30.06.09 № 70 «О порядке ежегодной оценки бюджетной, социальной и экономической эффективности установленных (планируемых к установлению) налоговых льгот»</w:t>
            </w:r>
          </w:p>
        </w:tc>
      </w:tr>
      <w:tr w:rsidR="00C240D6" w:rsidRPr="00C240D6" w:rsidTr="00C240D6">
        <w:trPr>
          <w:tblHeader/>
        </w:trPr>
        <w:tc>
          <w:tcPr>
            <w:tcW w:w="10788" w:type="dxa"/>
            <w:tcBorders>
              <w:top w:val="single" w:sz="6" w:space="0" w:color="ECEEEF"/>
              <w:left w:val="single" w:sz="6" w:space="0" w:color="ECEEEF"/>
              <w:bottom w:val="single" w:sz="12" w:space="0" w:color="ECEEEF"/>
              <w:right w:val="single" w:sz="6" w:space="0" w:color="ECEEEF"/>
            </w:tcBorders>
            <w:shd w:val="clear" w:color="auto" w:fill="548ED4"/>
            <w:vAlign w:val="bottom"/>
            <w:hideMark/>
          </w:tcPr>
          <w:p w:rsidR="00C240D6" w:rsidRPr="00C240D6" w:rsidRDefault="00C240D6">
            <w:pPr>
              <w:jc w:val="center"/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Субсидии для создания производственной инфраструктуры</w:t>
            </w:r>
          </w:p>
        </w:tc>
      </w:tr>
      <w:tr w:rsidR="00C240D6" w:rsidRPr="00C240D6" w:rsidTr="00C240D6">
        <w:trPr>
          <w:trHeight w:val="1266"/>
        </w:trPr>
        <w:tc>
          <w:tcPr>
            <w:tcW w:w="10788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Государственная программа Орловской области «Развитие предпринимательства и деловой активности в Орловской области», утвержденная Постановлением Правительства Орловской области от 9 сентября 2019 года № 508</w:t>
            </w:r>
          </w:p>
        </w:tc>
      </w:tr>
      <w:tr w:rsidR="00C240D6" w:rsidRPr="00C240D6" w:rsidTr="00C240D6">
        <w:trPr>
          <w:trHeight w:val="1424"/>
        </w:trPr>
        <w:tc>
          <w:tcPr>
            <w:tcW w:w="10788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lastRenderedPageBreak/>
              <w:t>Постановление Правительства Орловской области от 3 мая 2018 года № 196 "Об утверждении Порядка предоставления субсидии в целях возмещения части затрат на строительство (реконструкцию) производственной инфраструктуры для реализации инвестиционного проекта"</w:t>
            </w:r>
          </w:p>
        </w:tc>
      </w:tr>
      <w:tr w:rsidR="00C240D6" w:rsidRPr="00C240D6" w:rsidTr="00C240D6">
        <w:trPr>
          <w:trHeight w:val="1424"/>
        </w:trPr>
        <w:tc>
          <w:tcPr>
            <w:tcW w:w="10788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Постановление Правительства Орловской области от 08.02.2013 N 27 "Об утверждении Порядка предоставления субсидий в целях обеспечения производственных площадок на территории Орловской области производственной инфраструктурой, включая проведение работ по землеустройству, постановку сформированных земельных участков, предназначенных для размещения указанной инфраструктуры, на государственный кадастровый учет и государственную регистрацию прав на них"</w:t>
            </w:r>
          </w:p>
        </w:tc>
      </w:tr>
      <w:tr w:rsidR="00C240D6" w:rsidRPr="00C240D6" w:rsidTr="00C240D6">
        <w:tc>
          <w:tcPr>
            <w:tcW w:w="10788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Субсидии предоставляются в целях обеспечения производственных площадок на территории Орловской области производственной инфраструктурой</w:t>
            </w:r>
          </w:p>
        </w:tc>
      </w:tr>
    </w:tbl>
    <w:p w:rsidR="00C240D6" w:rsidRPr="00C240D6" w:rsidRDefault="00C240D6" w:rsidP="00C240D6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788" w:type="dxa"/>
        <w:tblBorders>
          <w:top w:val="single" w:sz="6" w:space="0" w:color="ECEEEF"/>
          <w:left w:val="single" w:sz="6" w:space="0" w:color="ECEEEF"/>
          <w:bottom w:val="single" w:sz="6" w:space="0" w:color="ECEEEF"/>
          <w:right w:val="single" w:sz="6" w:space="0" w:color="ECEEE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8"/>
      </w:tblGrid>
      <w:tr w:rsidR="00C240D6" w:rsidRPr="00C240D6" w:rsidTr="00C240D6">
        <w:tc>
          <w:tcPr>
            <w:tcW w:w="10788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548ED4"/>
            <w:hideMark/>
          </w:tcPr>
          <w:p w:rsidR="00C240D6" w:rsidRPr="00C240D6" w:rsidRDefault="00C240D6">
            <w:pPr>
              <w:jc w:val="center"/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Style w:val="a5"/>
                <w:rFonts w:ascii="Times New Roman" w:hAnsi="Times New Roman" w:cs="Times New Roman"/>
                <w:color w:val="FFFFFF"/>
                <w:sz w:val="24"/>
                <w:szCs w:val="24"/>
              </w:rPr>
              <w:t>Специальный инвестиционный контракт</w:t>
            </w:r>
          </w:p>
        </w:tc>
      </w:tr>
      <w:tr w:rsidR="00C240D6" w:rsidRPr="00C240D6" w:rsidTr="00C240D6">
        <w:trPr>
          <w:trHeight w:val="949"/>
        </w:trPr>
        <w:tc>
          <w:tcPr>
            <w:tcW w:w="10788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pStyle w:val="a4"/>
              <w:spacing w:before="0" w:beforeAutospacing="0" w:line="396" w:lineRule="atLeast"/>
              <w:rPr>
                <w:color w:val="292B2C"/>
              </w:rPr>
            </w:pPr>
            <w:r w:rsidRPr="00C240D6">
              <w:rPr>
                <w:color w:val="292B2C"/>
              </w:rPr>
              <w:t>Специальный инвестиционный контракт заключается с инвестором в соответствии с Федеральным законом "О промышленной политике в Российской Федерации"</w:t>
            </w:r>
          </w:p>
        </w:tc>
      </w:tr>
    </w:tbl>
    <w:p w:rsidR="00C240D6" w:rsidRPr="00C240D6" w:rsidRDefault="00C240D6" w:rsidP="00C240D6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788" w:type="dxa"/>
        <w:tblBorders>
          <w:top w:val="single" w:sz="6" w:space="0" w:color="ECEEEF"/>
          <w:left w:val="single" w:sz="6" w:space="0" w:color="ECEEEF"/>
          <w:bottom w:val="single" w:sz="6" w:space="0" w:color="ECEEEF"/>
          <w:right w:val="single" w:sz="6" w:space="0" w:color="ECEEE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8"/>
      </w:tblGrid>
      <w:tr w:rsidR="00C240D6" w:rsidRPr="00C240D6" w:rsidTr="00C240D6">
        <w:tc>
          <w:tcPr>
            <w:tcW w:w="10788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548ED4"/>
            <w:hideMark/>
          </w:tcPr>
          <w:p w:rsidR="00C240D6" w:rsidRPr="00C240D6" w:rsidRDefault="00C240D6">
            <w:pPr>
              <w:jc w:val="center"/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Предоставление земельного участка в аренду без проведения торгов</w:t>
            </w:r>
          </w:p>
        </w:tc>
      </w:tr>
      <w:tr w:rsidR="00C240D6" w:rsidRPr="00C240D6" w:rsidTr="00A44974">
        <w:trPr>
          <w:trHeight w:val="1257"/>
        </w:trPr>
        <w:tc>
          <w:tcPr>
            <w:tcW w:w="10788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Закон Орловской области от 04.12.2016 г. № 1884-ОЗ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 в аренду без проведения торгов»</w:t>
            </w:r>
          </w:p>
        </w:tc>
      </w:tr>
      <w:tr w:rsidR="00C240D6" w:rsidRPr="00C240D6" w:rsidTr="00C240D6">
        <w:tc>
          <w:tcPr>
            <w:tcW w:w="10788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 w:rsidP="00C240D6">
            <w:pPr>
              <w:pStyle w:val="a4"/>
              <w:spacing w:before="0" w:beforeAutospacing="0" w:line="396" w:lineRule="atLeast"/>
              <w:rPr>
                <w:color w:val="292B2C"/>
              </w:rPr>
            </w:pPr>
            <w:r w:rsidRPr="00C240D6">
              <w:rPr>
                <w:color w:val="292B2C"/>
              </w:rPr>
              <w:t>Постановление Правительства Орловской области от 11.04.2016 г.</w:t>
            </w:r>
            <w:r>
              <w:rPr>
                <w:color w:val="292B2C"/>
              </w:rPr>
              <w:t xml:space="preserve"> </w:t>
            </w:r>
            <w:r w:rsidRPr="00C240D6">
              <w:rPr>
                <w:color w:val="292B2C"/>
              </w:rPr>
              <w:t>№ 116 «О предоставлении права на заключение договора аренды земельного участка без проведения торгов для размещения объекта социально-культурного и (или) коммунально-бытового назначения, реализации масштабного инвестиционного проекта»</w:t>
            </w:r>
          </w:p>
        </w:tc>
      </w:tr>
      <w:tr w:rsidR="00C240D6" w:rsidRPr="00C240D6" w:rsidTr="00A44974">
        <w:trPr>
          <w:trHeight w:val="819"/>
        </w:trPr>
        <w:tc>
          <w:tcPr>
            <w:tcW w:w="10788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Default="00C240D6">
            <w:pPr>
              <w:pStyle w:val="a4"/>
              <w:spacing w:before="0" w:beforeAutospacing="0" w:line="396" w:lineRule="atLeast"/>
              <w:rPr>
                <w:color w:val="292B2C"/>
              </w:rPr>
            </w:pPr>
            <w:r w:rsidRPr="00C240D6">
              <w:rPr>
                <w:color w:val="292B2C"/>
              </w:rPr>
              <w:t>Указ Губернатора Орловской области от 12 апреля 2018 года № 210 "Об утверждении порядка конкурсного отбора масштабных инвестиционных проектов, соответствующих одному из критериев, установленных частью 1 статьи 3 Закона Орловской области от 4 декабря 2015 года № 1884-ОЗ, в целях предоставления земельного участка в аренду без проведения торгов"</w:t>
            </w:r>
          </w:p>
          <w:p w:rsidR="00C240D6" w:rsidRPr="00C240D6" w:rsidRDefault="00A44974" w:rsidP="00A44974">
            <w:pPr>
              <w:pStyle w:val="a4"/>
              <w:spacing w:before="0" w:beforeAutospacing="0" w:line="396" w:lineRule="atLeast"/>
              <w:rPr>
                <w:color w:val="292B2C"/>
              </w:rPr>
            </w:pPr>
            <w:r>
              <w:rPr>
                <w:color w:val="292B2C"/>
              </w:rPr>
              <w:t>Постановление администрации Болховского района № 133 от 01.04.2019 года «</w:t>
            </w:r>
            <w:r w:rsidRPr="00A44974">
              <w:rPr>
                <w:color w:val="292B2C"/>
              </w:rPr>
      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</w:t>
            </w:r>
            <w:r w:rsidRPr="00A44974">
              <w:rPr>
                <w:color w:val="292B2C"/>
              </w:rPr>
              <w:lastRenderedPageBreak/>
              <w:t>предпринимательства), а также Порядка и условий предоставления в аренду включенного в них муниципального имущества»</w:t>
            </w:r>
          </w:p>
        </w:tc>
      </w:tr>
      <w:tr w:rsidR="00C240D6" w:rsidRPr="00C240D6" w:rsidTr="00C240D6">
        <w:tc>
          <w:tcPr>
            <w:tcW w:w="10788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548ED4"/>
            <w:hideMark/>
          </w:tcPr>
          <w:p w:rsidR="00C240D6" w:rsidRPr="00C240D6" w:rsidRDefault="00C240D6">
            <w:pPr>
              <w:jc w:val="center"/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</w:rPr>
            </w:pPr>
            <w:r w:rsidRPr="00C240D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Инфраструктура поддержки малого и среднего бизнеса</w:t>
            </w:r>
          </w:p>
        </w:tc>
      </w:tr>
      <w:tr w:rsidR="00C240D6" w:rsidRPr="00C240D6" w:rsidTr="00C240D6">
        <w:tc>
          <w:tcPr>
            <w:tcW w:w="10788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hyperlink r:id="rId4" w:tgtFrame="_blank" w:history="1">
              <w:r w:rsidRPr="00C240D6">
                <w:rPr>
                  <w:rStyle w:val="a3"/>
                  <w:rFonts w:ascii="Times New Roman" w:hAnsi="Times New Roman" w:cs="Times New Roman"/>
                  <w:color w:val="0275D8"/>
                  <w:sz w:val="24"/>
                  <w:szCs w:val="24"/>
                </w:rPr>
                <w:t>Гарантийный фонд</w:t>
              </w:r>
            </w:hyperlink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br/>
              <w:t xml:space="preserve">Адрес: </w:t>
            </w:r>
            <w:proofErr w:type="gramStart"/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г</w:t>
            </w:r>
            <w:proofErr w:type="gramEnd"/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. Орел, ул. Салтыкова-Щедрина, д. 34, центр «Мой бизнес»</w:t>
            </w: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br/>
              <w:t xml:space="preserve">Тел.: +7 (4862) 49-02-09, </w:t>
            </w:r>
            <w:proofErr w:type="spellStart"/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e-mail</w:t>
            </w:r>
            <w:proofErr w:type="spellEnd"/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: </w:t>
            </w:r>
            <w:hyperlink r:id="rId5" w:history="1">
              <w:r w:rsidRPr="00C240D6">
                <w:rPr>
                  <w:rStyle w:val="a3"/>
                  <w:rFonts w:ascii="Times New Roman" w:hAnsi="Times New Roman" w:cs="Times New Roman"/>
                  <w:color w:val="0275D8"/>
                  <w:sz w:val="24"/>
                  <w:szCs w:val="24"/>
                </w:rPr>
                <w:t>garfond@yandex.ru</w:t>
              </w:r>
            </w:hyperlink>
          </w:p>
          <w:p w:rsidR="00C240D6" w:rsidRPr="00C240D6" w:rsidRDefault="00C240D6">
            <w:pPr>
              <w:pStyle w:val="a4"/>
              <w:spacing w:before="0" w:beforeAutospacing="0" w:line="396" w:lineRule="atLeast"/>
              <w:rPr>
                <w:color w:val="292B2C"/>
              </w:rPr>
            </w:pPr>
            <w:r w:rsidRPr="00C240D6">
              <w:rPr>
                <w:color w:val="292B2C"/>
              </w:rPr>
              <w:t>Основной услугой гарантийного фонда является предоставление гарантий и поручительств по банковским кредитам и договорам лизинга.</w:t>
            </w:r>
            <w:r w:rsidRPr="00C240D6">
              <w:rPr>
                <w:color w:val="292B2C"/>
              </w:rPr>
              <w:br/>
              <w:t>В случае нехватки залогового обеспечения для получения необходимой суммы кредита в банке фонд предоставляет банку поручительство в размере до 70 % от суммы кредита заемщика, в случае если данный банк является партнером фонда.</w:t>
            </w:r>
            <w:r w:rsidRPr="00C240D6">
              <w:rPr>
                <w:color w:val="292B2C"/>
              </w:rPr>
              <w:br/>
              <w:t xml:space="preserve">Поручительство предоставляется по договорам, заключенным на срок не менее 1 года в сумме более 1 </w:t>
            </w:r>
            <w:proofErr w:type="spellStart"/>
            <w:proofErr w:type="gramStart"/>
            <w:r w:rsidRPr="00C240D6">
              <w:rPr>
                <w:color w:val="292B2C"/>
              </w:rPr>
              <w:t>млн</w:t>
            </w:r>
            <w:proofErr w:type="spellEnd"/>
            <w:proofErr w:type="gramEnd"/>
            <w:r w:rsidRPr="00C240D6">
              <w:rPr>
                <w:color w:val="292B2C"/>
              </w:rPr>
              <w:t xml:space="preserve"> рублей. Максимальный размер единовременно выдаваемого поручительства фонда 25 </w:t>
            </w:r>
            <w:proofErr w:type="spellStart"/>
            <w:proofErr w:type="gramStart"/>
            <w:r w:rsidRPr="00C240D6">
              <w:rPr>
                <w:color w:val="292B2C"/>
              </w:rPr>
              <w:t>млн</w:t>
            </w:r>
            <w:proofErr w:type="spellEnd"/>
            <w:proofErr w:type="gramEnd"/>
            <w:r w:rsidRPr="00C240D6">
              <w:rPr>
                <w:color w:val="292B2C"/>
              </w:rPr>
              <w:t xml:space="preserve"> рублей. Общая сумма поручительства на одно юридическое лицо или индивидуального предпринимателя может составлять до 30 </w:t>
            </w:r>
            <w:proofErr w:type="spellStart"/>
            <w:proofErr w:type="gramStart"/>
            <w:r w:rsidRPr="00C240D6">
              <w:rPr>
                <w:color w:val="292B2C"/>
              </w:rPr>
              <w:t>млн</w:t>
            </w:r>
            <w:proofErr w:type="spellEnd"/>
            <w:proofErr w:type="gramEnd"/>
            <w:r w:rsidRPr="00C240D6">
              <w:rPr>
                <w:color w:val="292B2C"/>
              </w:rPr>
              <w:t xml:space="preserve"> рублей. Максимальный срок, на который может быть предоставлено поручительство – 88 месяцев.</w:t>
            </w:r>
            <w:r w:rsidRPr="00C240D6">
              <w:rPr>
                <w:color w:val="292B2C"/>
              </w:rPr>
              <w:br/>
              <w:t>На текущий момент Фонд сотрудничает с 14 банковскими и небанковскими организациями и одной лизинговой компанией.</w:t>
            </w:r>
            <w:r w:rsidRPr="00C240D6">
              <w:rPr>
                <w:color w:val="292B2C"/>
              </w:rPr>
              <w:br/>
              <w:t xml:space="preserve">За предоставленное поручительство предприниматель оплачивает вознаграждение фонду в размере от 0,5% до 2,75% </w:t>
            </w:r>
            <w:proofErr w:type="gramStart"/>
            <w:r w:rsidRPr="00C240D6">
              <w:rPr>
                <w:color w:val="292B2C"/>
              </w:rPr>
              <w:t>годовых</w:t>
            </w:r>
            <w:proofErr w:type="gramEnd"/>
            <w:r w:rsidRPr="00C240D6">
              <w:rPr>
                <w:color w:val="292B2C"/>
              </w:rPr>
              <w:t xml:space="preserve"> от суммы поручительства.</w:t>
            </w:r>
          </w:p>
        </w:tc>
      </w:tr>
      <w:tr w:rsidR="00C240D6" w:rsidRPr="00C240D6" w:rsidTr="00C240D6">
        <w:tc>
          <w:tcPr>
            <w:tcW w:w="10788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pStyle w:val="a4"/>
              <w:spacing w:before="0" w:beforeAutospacing="0" w:line="396" w:lineRule="atLeast"/>
              <w:rPr>
                <w:color w:val="292B2C"/>
              </w:rPr>
            </w:pPr>
            <w:hyperlink r:id="rId6" w:tgtFrame="_blank" w:history="1">
              <w:proofErr w:type="gramStart"/>
              <w:r w:rsidRPr="00C240D6">
                <w:rPr>
                  <w:rStyle w:val="a3"/>
                  <w:color w:val="0275D8"/>
                </w:rPr>
                <w:t>Некоммерческая организация "Центр поддержки предпринимательства Орловской области"</w:t>
              </w:r>
            </w:hyperlink>
            <w:r w:rsidRPr="00C240D6">
              <w:rPr>
                <w:color w:val="292B2C"/>
              </w:rPr>
              <w:br/>
              <w:t>Адрес: г. Орел, ул. Салтыкова-Щедрина, д. 34, центр «Мой бизнес»</w:t>
            </w:r>
            <w:r w:rsidRPr="00C240D6">
              <w:rPr>
                <w:color w:val="292B2C"/>
              </w:rPr>
              <w:br/>
              <w:t xml:space="preserve">Тел.: +7 (4862) 49-02-09, </w:t>
            </w:r>
            <w:proofErr w:type="spellStart"/>
            <w:r w:rsidRPr="00C240D6">
              <w:rPr>
                <w:color w:val="292B2C"/>
              </w:rPr>
              <w:t>e-mail</w:t>
            </w:r>
            <w:proofErr w:type="spellEnd"/>
            <w:r w:rsidRPr="00C240D6">
              <w:rPr>
                <w:color w:val="292B2C"/>
              </w:rPr>
              <w:t>: </w:t>
            </w:r>
            <w:hyperlink r:id="rId7" w:tgtFrame="_blank" w:history="1">
              <w:r w:rsidRPr="00C240D6">
                <w:rPr>
                  <w:rStyle w:val="a3"/>
                  <w:color w:val="0275D8"/>
                </w:rPr>
                <w:t>garfond@yandex.ru</w:t>
              </w:r>
            </w:hyperlink>
            <w:proofErr w:type="gramEnd"/>
          </w:p>
          <w:p w:rsidR="00C240D6" w:rsidRPr="00C240D6" w:rsidRDefault="00C240D6">
            <w:pPr>
              <w:pStyle w:val="a4"/>
              <w:spacing w:before="0" w:beforeAutospacing="0" w:line="396" w:lineRule="atLeast"/>
              <w:rPr>
                <w:color w:val="292B2C"/>
              </w:rPr>
            </w:pPr>
            <w:proofErr w:type="gramStart"/>
            <w:r w:rsidRPr="00C240D6">
              <w:rPr>
                <w:color w:val="292B2C"/>
              </w:rPr>
              <w:t>Центр оказывает широкий спектр услуг для малого предпринимательства: проведение различных обучающих мероприятий совместно с ВУЗами, консультирование по налоговому законодательству, предоставление услуг по регистрации бизнеса, услуги удаленной бухгалтерии, юридическое сопровождение, ведение портала государственной поддержки малого и среднего предпринимательства (</w:t>
            </w:r>
            <w:proofErr w:type="spellStart"/>
            <w:r w:rsidRPr="00C240D6">
              <w:rPr>
                <w:color w:val="292B2C"/>
              </w:rPr>
              <w:t>www.msb-orel.ru</w:t>
            </w:r>
            <w:proofErr w:type="spellEnd"/>
            <w:r w:rsidRPr="00C240D6">
              <w:rPr>
                <w:color w:val="292B2C"/>
              </w:rPr>
              <w:t>), на котором своевременно размещается вся актуальная информация, касающаяся осуществления предпринимательской деятельности.</w:t>
            </w:r>
            <w:proofErr w:type="gramEnd"/>
            <w:r w:rsidRPr="00C240D6">
              <w:rPr>
                <w:color w:val="292B2C"/>
              </w:rPr>
              <w:br/>
              <w:t xml:space="preserve">Также, центром разработано и внедрено мобильное приложение «ЦПП Орел», целью которого является информирование пользователей об актуальных бизнес - новостях и мероприятиях, проводимых Центром посредством мобильных </w:t>
            </w:r>
            <w:proofErr w:type="spellStart"/>
            <w:r w:rsidRPr="00C240D6">
              <w:rPr>
                <w:color w:val="292B2C"/>
              </w:rPr>
              <w:t>гаджетов</w:t>
            </w:r>
            <w:proofErr w:type="spellEnd"/>
            <w:r w:rsidRPr="00C240D6">
              <w:rPr>
                <w:color w:val="292B2C"/>
              </w:rPr>
              <w:t>. «ЦПП Орел» позволяет пользователям отправлять заявки на участие в мероприятиях Центра прямо из приложения.</w:t>
            </w:r>
            <w:r w:rsidRPr="00C240D6">
              <w:rPr>
                <w:color w:val="292B2C"/>
              </w:rPr>
              <w:br/>
              <w:t xml:space="preserve">В целях расширения предоставления консультационных услуг субъектам малого и среднего предпринимательства созданы представительства центра поддержки предпринимательства в городах </w:t>
            </w:r>
            <w:r w:rsidRPr="00C240D6">
              <w:rPr>
                <w:color w:val="292B2C"/>
              </w:rPr>
              <w:lastRenderedPageBreak/>
              <w:t>Мценск и Ливны.</w:t>
            </w:r>
          </w:p>
        </w:tc>
      </w:tr>
      <w:tr w:rsidR="00C240D6" w:rsidRPr="00C240D6" w:rsidTr="00C240D6">
        <w:tc>
          <w:tcPr>
            <w:tcW w:w="10788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pStyle w:val="a4"/>
              <w:spacing w:before="0" w:beforeAutospacing="0" w:line="396" w:lineRule="atLeast"/>
              <w:rPr>
                <w:color w:val="292B2C"/>
              </w:rPr>
            </w:pPr>
            <w:hyperlink r:id="rId8" w:tgtFrame="_blank" w:history="1">
              <w:proofErr w:type="gramStart"/>
              <w:r w:rsidRPr="00C240D6">
                <w:rPr>
                  <w:rStyle w:val="a3"/>
                  <w:color w:val="0275D8"/>
                </w:rPr>
                <w:t>Некоммерческая микрофинансовая организация "Фонд микрофинансирования Орловской области"</w:t>
              </w:r>
            </w:hyperlink>
            <w:r w:rsidRPr="00C240D6">
              <w:rPr>
                <w:color w:val="292B2C"/>
              </w:rPr>
              <w:br/>
              <w:t>Адрес: г. Орел, ул. Салтыкова-Щедрина, д. 34, центр «Мой бизнес»</w:t>
            </w:r>
            <w:r w:rsidRPr="00C240D6">
              <w:rPr>
                <w:color w:val="292B2C"/>
              </w:rPr>
              <w:br/>
              <w:t xml:space="preserve">Тел.: +7 (4862) 49-02-09, </w:t>
            </w:r>
            <w:proofErr w:type="spellStart"/>
            <w:r w:rsidRPr="00C240D6">
              <w:rPr>
                <w:color w:val="292B2C"/>
              </w:rPr>
              <w:t>e-mail</w:t>
            </w:r>
            <w:proofErr w:type="spellEnd"/>
            <w:r w:rsidRPr="00C240D6">
              <w:rPr>
                <w:color w:val="292B2C"/>
              </w:rPr>
              <w:t>: </w:t>
            </w:r>
            <w:hyperlink r:id="rId9" w:history="1">
              <w:r w:rsidRPr="00C240D6">
                <w:rPr>
                  <w:rStyle w:val="a3"/>
                  <w:color w:val="0275D8"/>
                </w:rPr>
                <w:t>fmoo@msb-orel.ru</w:t>
              </w:r>
            </w:hyperlink>
            <w:proofErr w:type="gramEnd"/>
          </w:p>
          <w:p w:rsidR="00C240D6" w:rsidRPr="00C240D6" w:rsidRDefault="00C240D6">
            <w:pPr>
              <w:pStyle w:val="a4"/>
              <w:spacing w:before="0" w:beforeAutospacing="0" w:line="396" w:lineRule="atLeast"/>
              <w:rPr>
                <w:color w:val="292B2C"/>
              </w:rPr>
            </w:pPr>
            <w:r w:rsidRPr="00C240D6">
              <w:rPr>
                <w:color w:val="292B2C"/>
              </w:rPr>
              <w:t xml:space="preserve">Некоммерческая организация «Фонд </w:t>
            </w:r>
            <w:proofErr w:type="spellStart"/>
            <w:r w:rsidRPr="00C240D6">
              <w:rPr>
                <w:color w:val="292B2C"/>
              </w:rPr>
              <w:t>микрофинансирования</w:t>
            </w:r>
            <w:proofErr w:type="spellEnd"/>
            <w:r w:rsidRPr="00C240D6">
              <w:rPr>
                <w:color w:val="292B2C"/>
              </w:rPr>
              <w:t xml:space="preserve"> Орловской области» предоставляет </w:t>
            </w:r>
            <w:proofErr w:type="spellStart"/>
            <w:r w:rsidRPr="00C240D6">
              <w:rPr>
                <w:color w:val="292B2C"/>
              </w:rPr>
              <w:t>микрозаймы</w:t>
            </w:r>
            <w:proofErr w:type="spellEnd"/>
            <w:r w:rsidRPr="00C240D6">
              <w:rPr>
                <w:color w:val="292B2C"/>
              </w:rPr>
              <w:t xml:space="preserve"> до 5 </w:t>
            </w:r>
            <w:proofErr w:type="spellStart"/>
            <w:proofErr w:type="gramStart"/>
            <w:r w:rsidRPr="00C240D6">
              <w:rPr>
                <w:color w:val="292B2C"/>
              </w:rPr>
              <w:t>млн</w:t>
            </w:r>
            <w:proofErr w:type="spellEnd"/>
            <w:proofErr w:type="gramEnd"/>
            <w:r w:rsidRPr="00C240D6">
              <w:rPr>
                <w:color w:val="292B2C"/>
              </w:rPr>
              <w:t xml:space="preserve"> рублей сроком до 3 лет субъектам малого бизнеса.</w:t>
            </w:r>
            <w:r w:rsidRPr="00C240D6">
              <w:rPr>
                <w:color w:val="292B2C"/>
              </w:rPr>
              <w:br/>
              <w:t xml:space="preserve">Средства фонда </w:t>
            </w:r>
            <w:proofErr w:type="spellStart"/>
            <w:r w:rsidRPr="00C240D6">
              <w:rPr>
                <w:color w:val="292B2C"/>
              </w:rPr>
              <w:t>микрофинансирования</w:t>
            </w:r>
            <w:proofErr w:type="spellEnd"/>
            <w:r w:rsidRPr="00C240D6">
              <w:rPr>
                <w:color w:val="292B2C"/>
              </w:rPr>
              <w:t xml:space="preserve"> могут быть направлены предпринимателями на пополнение оборотных средств, приобретение основных фондов, капитальные вложения, на рефинансирование ранее полученных банковских кредитов. Фондом разработаны и утверждены различные порядки предоставления </w:t>
            </w:r>
            <w:proofErr w:type="spellStart"/>
            <w:r w:rsidRPr="00C240D6">
              <w:rPr>
                <w:color w:val="292B2C"/>
              </w:rPr>
              <w:t>микрозаймов</w:t>
            </w:r>
            <w:proofErr w:type="spellEnd"/>
            <w:r w:rsidRPr="00C240D6">
              <w:rPr>
                <w:color w:val="292B2C"/>
              </w:rPr>
              <w:t>, по которым процентная ставка варьируется от 3 до 12 % годовых в зависимости от уровня средней заработной платы на предприятии и целей займа.</w:t>
            </w:r>
            <w:r w:rsidRPr="00C240D6">
              <w:rPr>
                <w:color w:val="292B2C"/>
              </w:rPr>
              <w:br/>
              <w:t xml:space="preserve">Также, в Фонде действует программа по предоставлению </w:t>
            </w:r>
            <w:proofErr w:type="spellStart"/>
            <w:r w:rsidRPr="00C240D6">
              <w:rPr>
                <w:color w:val="292B2C"/>
              </w:rPr>
              <w:t>микрозаймов</w:t>
            </w:r>
            <w:proofErr w:type="spellEnd"/>
            <w:r w:rsidRPr="00C240D6">
              <w:rPr>
                <w:color w:val="292B2C"/>
              </w:rPr>
              <w:t xml:space="preserve"> на развитие предпринимательской деятельности для субъектов малого предпринимательства, </w:t>
            </w:r>
            <w:proofErr w:type="gramStart"/>
            <w:r w:rsidRPr="00C240D6">
              <w:rPr>
                <w:color w:val="292B2C"/>
              </w:rPr>
              <w:t>зарегистрированным</w:t>
            </w:r>
            <w:proofErr w:type="gramEnd"/>
            <w:r w:rsidRPr="00C240D6">
              <w:rPr>
                <w:color w:val="292B2C"/>
              </w:rPr>
              <w:t xml:space="preserve"> и действующим менее 1 года на момент подачи заявки на </w:t>
            </w:r>
            <w:proofErr w:type="spellStart"/>
            <w:r w:rsidRPr="00C240D6">
              <w:rPr>
                <w:color w:val="292B2C"/>
              </w:rPr>
              <w:t>микрофинансирование</w:t>
            </w:r>
            <w:proofErr w:type="spellEnd"/>
            <w:r w:rsidRPr="00C240D6">
              <w:rPr>
                <w:color w:val="292B2C"/>
              </w:rPr>
              <w:t>, процентная ставка составляет 5 % годовых.</w:t>
            </w:r>
          </w:p>
        </w:tc>
      </w:tr>
      <w:tr w:rsidR="00C240D6" w:rsidRPr="00C240D6" w:rsidTr="00C240D6">
        <w:tc>
          <w:tcPr>
            <w:tcW w:w="10788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hyperlink r:id="rId10" w:tgtFrame="_blank" w:history="1">
              <w:r w:rsidRPr="00C240D6">
                <w:rPr>
                  <w:rStyle w:val="a3"/>
                  <w:rFonts w:ascii="Times New Roman" w:hAnsi="Times New Roman" w:cs="Times New Roman"/>
                  <w:color w:val="0275D8"/>
                  <w:sz w:val="24"/>
                  <w:szCs w:val="24"/>
                </w:rPr>
                <w:t>Орловский региональный Центр поддержки экспорта</w:t>
              </w:r>
            </w:hyperlink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br/>
              <w:t xml:space="preserve">Адрес: </w:t>
            </w:r>
            <w:proofErr w:type="gramStart"/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г</w:t>
            </w:r>
            <w:proofErr w:type="gramEnd"/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. Орел, ул. Салтыкова-Щедрина, д. 34, центр «Мой бизнес»</w:t>
            </w: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br/>
              <w:t xml:space="preserve">Тел.: +7 (4862) 49-02-09, </w:t>
            </w:r>
            <w:proofErr w:type="spellStart"/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e-mail</w:t>
            </w:r>
            <w:proofErr w:type="spellEnd"/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: </w:t>
            </w:r>
            <w:hyperlink r:id="rId11" w:history="1">
              <w:r w:rsidRPr="00C240D6">
                <w:rPr>
                  <w:rStyle w:val="a3"/>
                  <w:rFonts w:ascii="Times New Roman" w:hAnsi="Times New Roman" w:cs="Times New Roman"/>
                  <w:color w:val="0275D8"/>
                  <w:sz w:val="24"/>
                  <w:szCs w:val="24"/>
                </w:rPr>
                <w:t>info@export57.ru</w:t>
              </w:r>
            </w:hyperlink>
          </w:p>
          <w:p w:rsidR="00C240D6" w:rsidRPr="00C240D6" w:rsidRDefault="00C240D6">
            <w:pPr>
              <w:pStyle w:val="a4"/>
              <w:spacing w:before="0" w:beforeAutospacing="0" w:line="396" w:lineRule="atLeast"/>
              <w:rPr>
                <w:color w:val="292B2C"/>
              </w:rPr>
            </w:pPr>
            <w:r w:rsidRPr="00C240D6">
              <w:rPr>
                <w:color w:val="292B2C"/>
              </w:rPr>
              <w:t>Орловский региональный Центр поддержки экспорта создан в целях стимулирования и вовлечения малых и средних предприятий Орловской области в экспортную деятельность; содействие их выходу на международные рынки товаров, услуг и технологий; повышению конкурентоспособности и эффективности их деятельности.</w:t>
            </w:r>
            <w:r w:rsidRPr="00C240D6">
              <w:rPr>
                <w:color w:val="292B2C"/>
              </w:rPr>
              <w:br/>
            </w:r>
            <w:proofErr w:type="gramStart"/>
            <w:r w:rsidRPr="00C240D6">
              <w:rPr>
                <w:color w:val="292B2C"/>
              </w:rPr>
              <w:t>Основные направления деятельности Центра включают организационные и консультационные услуги по развитию экспортной деятельности субъектов малого и среднего бизнеса по таким направлениям, как:</w:t>
            </w:r>
            <w:r w:rsidRPr="00C240D6">
              <w:rPr>
                <w:color w:val="292B2C"/>
              </w:rPr>
              <w:br/>
              <w:t xml:space="preserve">организация участия предпринимателей в выставочно-ярмарочных и </w:t>
            </w:r>
            <w:proofErr w:type="spellStart"/>
            <w:r w:rsidRPr="00C240D6">
              <w:rPr>
                <w:color w:val="292B2C"/>
              </w:rPr>
              <w:t>конгрессных</w:t>
            </w:r>
            <w:proofErr w:type="spellEnd"/>
            <w:r w:rsidRPr="00C240D6">
              <w:rPr>
                <w:color w:val="292B2C"/>
              </w:rPr>
              <w:t xml:space="preserve"> мероприятиях в России и за рубежом;</w:t>
            </w:r>
            <w:r w:rsidRPr="00C240D6">
              <w:rPr>
                <w:color w:val="292B2C"/>
              </w:rPr>
              <w:br/>
              <w:t>сертификация продукции для вывода на зарубежные рынки;</w:t>
            </w:r>
            <w:r w:rsidRPr="00C240D6">
              <w:rPr>
                <w:color w:val="292B2C"/>
              </w:rPr>
              <w:br/>
              <w:t>размещение информации о производимой продукции на международных электронных торговых площадках;</w:t>
            </w:r>
            <w:proofErr w:type="gramEnd"/>
            <w:r w:rsidRPr="00C240D6">
              <w:rPr>
                <w:color w:val="292B2C"/>
              </w:rPr>
              <w:br/>
              <w:t xml:space="preserve">организация международных </w:t>
            </w:r>
            <w:proofErr w:type="spellStart"/>
            <w:proofErr w:type="gramStart"/>
            <w:r w:rsidRPr="00C240D6">
              <w:rPr>
                <w:color w:val="292B2C"/>
              </w:rPr>
              <w:t>бизнес-миссий</w:t>
            </w:r>
            <w:proofErr w:type="spellEnd"/>
            <w:proofErr w:type="gramEnd"/>
            <w:r w:rsidRPr="00C240D6">
              <w:rPr>
                <w:color w:val="292B2C"/>
              </w:rPr>
              <w:t>;</w:t>
            </w:r>
            <w:r w:rsidRPr="00C240D6">
              <w:rPr>
                <w:color w:val="292B2C"/>
              </w:rPr>
              <w:br/>
              <w:t>организация переговоров с иностранными компаниями;</w:t>
            </w:r>
            <w:r w:rsidRPr="00C240D6">
              <w:rPr>
                <w:color w:val="292B2C"/>
              </w:rPr>
              <w:br/>
              <w:t>содействие в формировании и продвижении экспортных и инвестиционных предложений;</w:t>
            </w:r>
            <w:r w:rsidRPr="00C240D6">
              <w:rPr>
                <w:color w:val="292B2C"/>
              </w:rPr>
              <w:br/>
              <w:t>создание и модернизация сайтов экспортеров в сети Интернет;</w:t>
            </w:r>
            <w:r w:rsidRPr="00C240D6">
              <w:rPr>
                <w:color w:val="292B2C"/>
              </w:rPr>
              <w:br/>
              <w:t>перевод информационных материалов о производимой продукции на иностранные языки;</w:t>
            </w:r>
            <w:r w:rsidRPr="00C240D6">
              <w:rPr>
                <w:color w:val="292B2C"/>
              </w:rPr>
              <w:br/>
            </w:r>
            <w:r w:rsidRPr="00C240D6">
              <w:rPr>
                <w:color w:val="292B2C"/>
              </w:rPr>
              <w:lastRenderedPageBreak/>
              <w:t>консультирование по вопросам экспортной деятельности.</w:t>
            </w:r>
          </w:p>
        </w:tc>
      </w:tr>
      <w:tr w:rsidR="00C240D6" w:rsidRPr="00C240D6" w:rsidTr="00C240D6">
        <w:tc>
          <w:tcPr>
            <w:tcW w:w="10788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hyperlink r:id="rId12" w:tgtFrame="_blank" w:history="1">
              <w:proofErr w:type="gramStart"/>
              <w:r w:rsidRPr="00C240D6">
                <w:rPr>
                  <w:rStyle w:val="a3"/>
                  <w:rFonts w:ascii="Times New Roman" w:hAnsi="Times New Roman" w:cs="Times New Roman"/>
                  <w:color w:val="0275D8"/>
                  <w:sz w:val="24"/>
                  <w:szCs w:val="24"/>
                </w:rPr>
                <w:t>Центр кластерного развития</w:t>
              </w:r>
            </w:hyperlink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br/>
              <w:t>Адрес: г. Орел, ул. Салтыкова-Щедрина, д. 34, центр «Мой бизнес»</w:t>
            </w:r>
            <w:r w:rsidRPr="00C240D6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br/>
              <w:t>Тел.: +7 (4862) 49-02-09</w:t>
            </w:r>
            <w:proofErr w:type="gramEnd"/>
          </w:p>
          <w:p w:rsidR="00C240D6" w:rsidRPr="00C240D6" w:rsidRDefault="00C240D6">
            <w:pPr>
              <w:pStyle w:val="a4"/>
              <w:spacing w:before="0" w:beforeAutospacing="0" w:line="396" w:lineRule="atLeast"/>
              <w:rPr>
                <w:color w:val="292B2C"/>
              </w:rPr>
            </w:pPr>
            <w:r w:rsidRPr="00C240D6">
              <w:rPr>
                <w:color w:val="292B2C"/>
              </w:rPr>
              <w:t>На сегодняшний день в Орловской области созданы пять кластеров: ГЛОНАСС, приборостроения и электроники, туристский кластер, кластер информационных технологий и кластер легкой промышленности, в состав которых входят более 150 участников.</w:t>
            </w:r>
            <w:r w:rsidRPr="00C240D6">
              <w:rPr>
                <w:color w:val="292B2C"/>
              </w:rPr>
              <w:br/>
              <w:t>Услуги центра кластерного развития для резидентов кластеров:</w:t>
            </w:r>
            <w:r w:rsidRPr="00C240D6">
              <w:rPr>
                <w:color w:val="292B2C"/>
              </w:rPr>
              <w:br/>
              <w:t>•    </w:t>
            </w:r>
            <w:proofErr w:type="gramStart"/>
            <w:r w:rsidRPr="00C240D6">
              <w:rPr>
                <w:color w:val="292B2C"/>
              </w:rPr>
              <w:t>Оказание маркетинговых услуг</w:t>
            </w:r>
            <w:r w:rsidRPr="00C240D6">
              <w:rPr>
                <w:color w:val="292B2C"/>
              </w:rPr>
              <w:br/>
              <w:t>•    Организация и проведение обучающих тренингов, семинаров</w:t>
            </w:r>
            <w:r w:rsidRPr="00C240D6">
              <w:rPr>
                <w:color w:val="292B2C"/>
              </w:rPr>
              <w:br/>
              <w:t>•    Проведение информационных кампаний в СМИ</w:t>
            </w:r>
            <w:r w:rsidRPr="00C240D6">
              <w:rPr>
                <w:color w:val="292B2C"/>
              </w:rPr>
              <w:br/>
              <w:t>•    Подготовка бизнес-планов, ТЭО совместных кластерных проектов</w:t>
            </w:r>
            <w:r w:rsidRPr="00C240D6">
              <w:rPr>
                <w:color w:val="292B2C"/>
              </w:rPr>
              <w:br/>
              <w:t>•    Организация участия на отраслевых российских и зарубежных выставочных площадках</w:t>
            </w:r>
            <w:r w:rsidRPr="00C240D6">
              <w:rPr>
                <w:color w:val="292B2C"/>
              </w:rPr>
              <w:br/>
              <w:t>•    Организация работ по обеспечению соответствия продукции требованиям потребителей в целях выхода на новые рынки сбыта</w:t>
            </w:r>
            <w:r w:rsidRPr="00C240D6">
              <w:rPr>
                <w:color w:val="292B2C"/>
              </w:rPr>
              <w:br/>
              <w:t>•    Консультационные услуги по вопросам правового обеспечения деятельности</w:t>
            </w:r>
            <w:proofErr w:type="gramEnd"/>
          </w:p>
        </w:tc>
      </w:tr>
    </w:tbl>
    <w:p w:rsidR="00C240D6" w:rsidRPr="00C240D6" w:rsidRDefault="00C240D6" w:rsidP="00C240D6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788" w:type="dxa"/>
        <w:tblBorders>
          <w:top w:val="single" w:sz="6" w:space="0" w:color="ECEEEF"/>
          <w:left w:val="single" w:sz="6" w:space="0" w:color="ECEEEF"/>
          <w:bottom w:val="single" w:sz="6" w:space="0" w:color="ECEEEF"/>
          <w:right w:val="single" w:sz="6" w:space="0" w:color="ECEEE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8"/>
      </w:tblGrid>
      <w:tr w:rsidR="00C240D6" w:rsidRPr="00C240D6" w:rsidTr="00C240D6">
        <w:tc>
          <w:tcPr>
            <w:tcW w:w="10788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548ED4"/>
            <w:hideMark/>
          </w:tcPr>
          <w:p w:rsidR="00C240D6" w:rsidRPr="00C240D6" w:rsidRDefault="00C240D6">
            <w:pPr>
              <w:jc w:val="center"/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Style w:val="a5"/>
                <w:rFonts w:ascii="Times New Roman" w:hAnsi="Times New Roman" w:cs="Times New Roman"/>
                <w:color w:val="FFFFFF"/>
                <w:sz w:val="24"/>
                <w:szCs w:val="24"/>
              </w:rPr>
              <w:t>Налоговые преференции для субъектов МСП</w:t>
            </w:r>
          </w:p>
        </w:tc>
      </w:tr>
      <w:tr w:rsidR="00C240D6" w:rsidRPr="00C240D6" w:rsidTr="00C240D6">
        <w:tc>
          <w:tcPr>
            <w:tcW w:w="10788" w:type="dxa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pStyle w:val="a4"/>
              <w:spacing w:before="0" w:beforeAutospacing="0" w:line="396" w:lineRule="atLeast"/>
              <w:rPr>
                <w:color w:val="292B2C"/>
              </w:rPr>
            </w:pPr>
            <w:proofErr w:type="gramStart"/>
            <w:r w:rsidRPr="00C240D6">
              <w:rPr>
                <w:color w:val="292B2C"/>
              </w:rPr>
              <w:t>Действуют региональный закон о применении пониженной ставки налогообложения для налогоплательщиков, применяющих упрощенную систему налогообложения в производственной, социальной, научной, бытовой сферах в размере 5 % (при полной ставке 15 %) и региональный закон о «налоговых каникулах» для вновь зарегистрированных индивидуальных предпринимателей, применяющих упрощенную и патентную системы налогообложения.</w:t>
            </w:r>
            <w:proofErr w:type="gramEnd"/>
            <w:r w:rsidRPr="00C240D6">
              <w:rPr>
                <w:color w:val="292B2C"/>
              </w:rPr>
              <w:br/>
              <w:t>Принят региональный закон, предусматривающий снижение налоговой ставки по упрощенной системе налогообложения по объекту налогообложения «доходы» до 3 % (при полной ставке 6 %) для предпринимателей, работающих в сферах разработки программного обеспечения, научных исследований и разработок в области естественных и технических наук. Также данная ставка установлена для тех, кто ведет свою деятельность в сферах ветеринарии, предоставления образовательных услуг, а также услуг в области здравоохранения и социальной сферы.</w:t>
            </w:r>
          </w:p>
        </w:tc>
      </w:tr>
    </w:tbl>
    <w:p w:rsidR="00C240D6" w:rsidRPr="00C240D6" w:rsidRDefault="00C240D6" w:rsidP="00C240D6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3055" w:type="dxa"/>
        <w:tblBorders>
          <w:top w:val="single" w:sz="6" w:space="0" w:color="ECEEEF"/>
          <w:left w:val="single" w:sz="6" w:space="0" w:color="ECEEEF"/>
          <w:bottom w:val="single" w:sz="6" w:space="0" w:color="ECEEEF"/>
          <w:right w:val="single" w:sz="6" w:space="0" w:color="ECEEE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5"/>
      </w:tblGrid>
      <w:tr w:rsidR="00C240D6" w:rsidRPr="00C240D6" w:rsidTr="00C240D6">
        <w:tc>
          <w:tcPr>
            <w:tcW w:w="0" w:type="auto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548ED4"/>
            <w:hideMark/>
          </w:tcPr>
          <w:p w:rsidR="00C240D6" w:rsidRPr="00C240D6" w:rsidRDefault="00C240D6">
            <w:pPr>
              <w:jc w:val="center"/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Style w:val="a5"/>
                <w:rFonts w:ascii="Times New Roman" w:hAnsi="Times New Roman" w:cs="Times New Roman"/>
                <w:color w:val="FFFFFF"/>
                <w:sz w:val="24"/>
                <w:szCs w:val="24"/>
              </w:rPr>
              <w:t>Имущественная поддержка</w:t>
            </w:r>
          </w:p>
        </w:tc>
      </w:tr>
      <w:tr w:rsidR="00C240D6" w:rsidRPr="00C240D6" w:rsidTr="00C240D6">
        <w:tc>
          <w:tcPr>
            <w:tcW w:w="0" w:type="auto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pStyle w:val="a4"/>
              <w:spacing w:before="0" w:beforeAutospacing="0" w:line="396" w:lineRule="atLeast"/>
              <w:rPr>
                <w:color w:val="292B2C"/>
              </w:rPr>
            </w:pPr>
            <w:hyperlink r:id="rId13" w:tgtFrame="_blank" w:history="1">
              <w:r w:rsidRPr="00C240D6">
                <w:rPr>
                  <w:rStyle w:val="a3"/>
                  <w:color w:val="0275D8"/>
                </w:rPr>
                <w:t>Особая экономическая зона промышленно-производственного типа "Орел"</w:t>
              </w:r>
            </w:hyperlink>
            <w:r w:rsidRPr="00C240D6">
              <w:rPr>
                <w:color w:val="292B2C"/>
              </w:rPr>
              <w:br/>
              <w:t xml:space="preserve">Адрес: </w:t>
            </w:r>
            <w:proofErr w:type="gramStart"/>
            <w:r w:rsidRPr="00C240D6">
              <w:rPr>
                <w:color w:val="292B2C"/>
              </w:rPr>
              <w:t xml:space="preserve">Орловская область, </w:t>
            </w:r>
            <w:proofErr w:type="spellStart"/>
            <w:r w:rsidRPr="00C240D6">
              <w:rPr>
                <w:color w:val="292B2C"/>
              </w:rPr>
              <w:t>Мценский</w:t>
            </w:r>
            <w:proofErr w:type="spellEnd"/>
            <w:r w:rsidRPr="00C240D6">
              <w:rPr>
                <w:color w:val="292B2C"/>
              </w:rPr>
              <w:t xml:space="preserve"> район, </w:t>
            </w:r>
            <w:proofErr w:type="spellStart"/>
            <w:r w:rsidRPr="00C240D6">
              <w:rPr>
                <w:color w:val="292B2C"/>
              </w:rPr>
              <w:t>Подмокринский</w:t>
            </w:r>
            <w:proofErr w:type="spellEnd"/>
            <w:r w:rsidRPr="00C240D6">
              <w:rPr>
                <w:color w:val="292B2C"/>
              </w:rPr>
              <w:t xml:space="preserve"> с/с, на северо-восток от п. Воля</w:t>
            </w:r>
            <w:r w:rsidRPr="00C240D6">
              <w:rPr>
                <w:color w:val="292B2C"/>
              </w:rPr>
              <w:br/>
              <w:t xml:space="preserve">Тел.: +7 (4862) 76-00-18, 44-30-18, </w:t>
            </w:r>
            <w:proofErr w:type="spellStart"/>
            <w:r w:rsidRPr="00C240D6">
              <w:rPr>
                <w:color w:val="292B2C"/>
              </w:rPr>
              <w:t>e-mail</w:t>
            </w:r>
            <w:proofErr w:type="spellEnd"/>
            <w:r w:rsidRPr="00C240D6">
              <w:rPr>
                <w:color w:val="292B2C"/>
              </w:rPr>
              <w:t>: </w:t>
            </w:r>
            <w:hyperlink r:id="rId14" w:history="1">
              <w:r w:rsidRPr="00C240D6">
                <w:rPr>
                  <w:rStyle w:val="a3"/>
                  <w:color w:val="0275D8"/>
                </w:rPr>
                <w:t>office@park57.ru</w:t>
              </w:r>
            </w:hyperlink>
            <w:proofErr w:type="gramEnd"/>
          </w:p>
          <w:p w:rsidR="00C240D6" w:rsidRPr="00C240D6" w:rsidRDefault="00C240D6">
            <w:pPr>
              <w:pStyle w:val="a4"/>
              <w:spacing w:before="0" w:beforeAutospacing="0" w:line="396" w:lineRule="atLeast"/>
              <w:rPr>
                <w:color w:val="292B2C"/>
              </w:rPr>
            </w:pPr>
            <w:hyperlink r:id="rId15" w:tgtFrame="_blank" w:history="1">
              <w:r w:rsidRPr="00C240D6">
                <w:rPr>
                  <w:rStyle w:val="a3"/>
                  <w:color w:val="0275D8"/>
                </w:rPr>
                <w:t>Территория опережающего развития "Мценск"</w:t>
              </w:r>
            </w:hyperlink>
            <w:r w:rsidRPr="00C240D6">
              <w:rPr>
                <w:color w:val="292B2C"/>
              </w:rPr>
              <w:br/>
              <w:t>Адрес</w:t>
            </w:r>
            <w:proofErr w:type="gramStart"/>
            <w:r w:rsidRPr="00C240D6">
              <w:rPr>
                <w:color w:val="292B2C"/>
              </w:rPr>
              <w:t xml:space="preserve">:. </w:t>
            </w:r>
            <w:proofErr w:type="gramEnd"/>
            <w:r w:rsidRPr="00C240D6">
              <w:rPr>
                <w:color w:val="292B2C"/>
              </w:rPr>
              <w:t>расположена в границах города Мценска Орловской области</w:t>
            </w:r>
            <w:r w:rsidRPr="00C240D6">
              <w:rPr>
                <w:color w:val="292B2C"/>
              </w:rPr>
              <w:br/>
              <w:t xml:space="preserve">Тел.: +7 (4862) 59-82-40, </w:t>
            </w:r>
            <w:proofErr w:type="spellStart"/>
            <w:r w:rsidRPr="00C240D6">
              <w:rPr>
                <w:color w:val="292B2C"/>
              </w:rPr>
              <w:t>e-mail</w:t>
            </w:r>
            <w:proofErr w:type="spellEnd"/>
            <w:r w:rsidRPr="00C240D6">
              <w:rPr>
                <w:color w:val="292B2C"/>
              </w:rPr>
              <w:t>: </w:t>
            </w:r>
            <w:hyperlink r:id="rId16" w:history="1">
              <w:r w:rsidRPr="00C240D6">
                <w:rPr>
                  <w:rStyle w:val="a3"/>
                  <w:color w:val="0275D8"/>
                </w:rPr>
                <w:t>inv@adm.orel.ru</w:t>
              </w:r>
            </w:hyperlink>
          </w:p>
          <w:p w:rsidR="00C240D6" w:rsidRPr="00C240D6" w:rsidRDefault="00C240D6">
            <w:pPr>
              <w:pStyle w:val="a4"/>
              <w:spacing w:before="0" w:beforeAutospacing="0" w:line="396" w:lineRule="atLeast"/>
              <w:rPr>
                <w:color w:val="292B2C"/>
              </w:rPr>
            </w:pPr>
            <w:hyperlink r:id="rId17" w:tgtFrame="_blank" w:history="1">
              <w:r w:rsidRPr="00C240D6">
                <w:rPr>
                  <w:rStyle w:val="a3"/>
                  <w:color w:val="0275D8"/>
                </w:rPr>
                <w:t>Индустриальный парк "Орел"</w:t>
              </w:r>
            </w:hyperlink>
            <w:r w:rsidRPr="00C240D6">
              <w:rPr>
                <w:color w:val="292B2C"/>
              </w:rPr>
              <w:br/>
              <w:t xml:space="preserve">Адрес: г. Орел, ул. </w:t>
            </w:r>
            <w:proofErr w:type="gramStart"/>
            <w:r w:rsidRPr="00C240D6">
              <w:rPr>
                <w:color w:val="292B2C"/>
              </w:rPr>
              <w:t>Раздольная</w:t>
            </w:r>
            <w:proofErr w:type="gramEnd"/>
            <w:r w:rsidRPr="00C240D6">
              <w:rPr>
                <w:color w:val="292B2C"/>
              </w:rPr>
              <w:t>, 105</w:t>
            </w:r>
            <w:r w:rsidRPr="00C240D6">
              <w:rPr>
                <w:color w:val="292B2C"/>
              </w:rPr>
              <w:br/>
              <w:t xml:space="preserve">Тел.: +7 (4862) 39-05-35, </w:t>
            </w:r>
            <w:proofErr w:type="spellStart"/>
            <w:r w:rsidRPr="00C240D6">
              <w:rPr>
                <w:color w:val="292B2C"/>
              </w:rPr>
              <w:t>e-mail</w:t>
            </w:r>
            <w:proofErr w:type="spellEnd"/>
            <w:r w:rsidRPr="00C240D6">
              <w:rPr>
                <w:color w:val="292B2C"/>
              </w:rPr>
              <w:t>: </w:t>
            </w:r>
            <w:hyperlink r:id="rId18" w:history="1">
              <w:r w:rsidRPr="00C240D6">
                <w:rPr>
                  <w:rStyle w:val="a3"/>
                  <w:color w:val="0275D8"/>
                </w:rPr>
                <w:t>np.kazakova@severstal.com</w:t>
              </w:r>
            </w:hyperlink>
            <w:r w:rsidRPr="00C240D6">
              <w:rPr>
                <w:color w:val="292B2C"/>
              </w:rPr>
              <w:br/>
              <w:t>Предоставление в аренду субъектам МСП производственных площадей</w:t>
            </w:r>
          </w:p>
        </w:tc>
      </w:tr>
    </w:tbl>
    <w:p w:rsidR="00C240D6" w:rsidRPr="00C240D6" w:rsidRDefault="00C240D6" w:rsidP="00C240D6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3055" w:type="dxa"/>
        <w:tblBorders>
          <w:top w:val="single" w:sz="6" w:space="0" w:color="ECEEEF"/>
          <w:left w:val="single" w:sz="6" w:space="0" w:color="ECEEEF"/>
          <w:bottom w:val="single" w:sz="6" w:space="0" w:color="ECEEEF"/>
          <w:right w:val="single" w:sz="6" w:space="0" w:color="ECEEE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5"/>
      </w:tblGrid>
      <w:tr w:rsidR="00C240D6" w:rsidRPr="00C240D6" w:rsidTr="00C240D6">
        <w:tc>
          <w:tcPr>
            <w:tcW w:w="0" w:type="auto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548ED4"/>
            <w:hideMark/>
          </w:tcPr>
          <w:p w:rsidR="00C240D6" w:rsidRPr="00C240D6" w:rsidRDefault="00C240D6">
            <w:pPr>
              <w:jc w:val="center"/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C240D6">
              <w:rPr>
                <w:rStyle w:val="a5"/>
                <w:rFonts w:ascii="Times New Roman" w:hAnsi="Times New Roman" w:cs="Times New Roman"/>
                <w:color w:val="FFFFFF"/>
                <w:sz w:val="24"/>
                <w:szCs w:val="24"/>
              </w:rPr>
              <w:t>Поддержка проектов промышленной направленности</w:t>
            </w:r>
          </w:p>
        </w:tc>
      </w:tr>
      <w:tr w:rsidR="00C240D6" w:rsidRPr="00C240D6" w:rsidTr="00C240D6">
        <w:tc>
          <w:tcPr>
            <w:tcW w:w="0" w:type="auto"/>
            <w:tcBorders>
              <w:top w:val="single" w:sz="6" w:space="0" w:color="ECEEEF"/>
              <w:left w:val="single" w:sz="6" w:space="0" w:color="ECEEEF"/>
              <w:bottom w:val="single" w:sz="6" w:space="0" w:color="ECEEEF"/>
              <w:right w:val="single" w:sz="6" w:space="0" w:color="ECEEEF"/>
            </w:tcBorders>
            <w:shd w:val="clear" w:color="auto" w:fill="FFFFFF"/>
            <w:hideMark/>
          </w:tcPr>
          <w:p w:rsidR="00C240D6" w:rsidRPr="00C240D6" w:rsidRDefault="00C240D6">
            <w:pPr>
              <w:pStyle w:val="a4"/>
              <w:spacing w:before="0" w:beforeAutospacing="0" w:line="396" w:lineRule="atLeast"/>
              <w:rPr>
                <w:color w:val="292B2C"/>
              </w:rPr>
            </w:pPr>
            <w:hyperlink r:id="rId19" w:tgtFrame="_blank" w:history="1">
              <w:r w:rsidRPr="00C240D6">
                <w:rPr>
                  <w:rStyle w:val="a3"/>
                  <w:color w:val="0275D8"/>
                </w:rPr>
                <w:t>Фонд развития промышленности Орловской области</w:t>
              </w:r>
            </w:hyperlink>
            <w:r w:rsidRPr="00C240D6">
              <w:rPr>
                <w:color w:val="292B2C"/>
              </w:rPr>
              <w:br/>
              <w:t xml:space="preserve">Адрес: </w:t>
            </w:r>
            <w:proofErr w:type="gramStart"/>
            <w:r w:rsidRPr="00C240D6">
              <w:rPr>
                <w:color w:val="292B2C"/>
              </w:rPr>
              <w:t>г</w:t>
            </w:r>
            <w:proofErr w:type="gramEnd"/>
            <w:r w:rsidRPr="00C240D6">
              <w:rPr>
                <w:color w:val="292B2C"/>
              </w:rPr>
              <w:t>. Орёл, Набережная Дубровинского, дом 70, офис 201</w:t>
            </w:r>
            <w:r w:rsidRPr="00C240D6">
              <w:rPr>
                <w:color w:val="292B2C"/>
              </w:rPr>
              <w:br/>
              <w:t xml:space="preserve">Тел.: +7 (4862) 54-46-29, </w:t>
            </w:r>
            <w:proofErr w:type="spellStart"/>
            <w:r w:rsidRPr="00C240D6">
              <w:rPr>
                <w:color w:val="292B2C"/>
              </w:rPr>
              <w:t>e-mail</w:t>
            </w:r>
            <w:proofErr w:type="spellEnd"/>
            <w:r w:rsidRPr="00C240D6">
              <w:rPr>
                <w:color w:val="292B2C"/>
              </w:rPr>
              <w:t>: </w:t>
            </w:r>
            <w:hyperlink r:id="rId20" w:history="1">
              <w:r w:rsidRPr="00C240D6">
                <w:rPr>
                  <w:rStyle w:val="a3"/>
                  <w:color w:val="0275D8"/>
                </w:rPr>
                <w:t>frpoo@yandex.ru</w:t>
              </w:r>
            </w:hyperlink>
          </w:p>
        </w:tc>
      </w:tr>
    </w:tbl>
    <w:p w:rsidR="005F57EA" w:rsidRPr="00C240D6" w:rsidRDefault="005F57EA">
      <w:pPr>
        <w:rPr>
          <w:rFonts w:ascii="Times New Roman" w:hAnsi="Times New Roman" w:cs="Times New Roman"/>
          <w:sz w:val="24"/>
          <w:szCs w:val="24"/>
        </w:rPr>
      </w:pPr>
    </w:p>
    <w:sectPr w:rsidR="005F57EA" w:rsidRPr="00C240D6" w:rsidSect="00C240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F57EA"/>
    <w:rsid w:val="00361B36"/>
    <w:rsid w:val="005F57EA"/>
    <w:rsid w:val="00A44974"/>
    <w:rsid w:val="00C2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36"/>
  </w:style>
  <w:style w:type="paragraph" w:styleId="3">
    <w:name w:val="heading 3"/>
    <w:basedOn w:val="a"/>
    <w:link w:val="30"/>
    <w:uiPriority w:val="9"/>
    <w:qFormat/>
    <w:rsid w:val="00C24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7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240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C2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4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oo.msb-orel.ru/" TargetMode="External"/><Relationship Id="rId13" Type="http://schemas.openxmlformats.org/officeDocument/2006/relationships/hyperlink" Target="https://invest-orel.ru/articles/osobaya_ekonomicheskaya_zona_promyshlenno-proizvodstvennogo_tipa" TargetMode="External"/><Relationship Id="rId18" Type="http://schemas.openxmlformats.org/officeDocument/2006/relationships/hyperlink" Target="mailto:av.erenichev@severstalmetiz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garfond@yandex.ru" TargetMode="External"/><Relationship Id="rId12" Type="http://schemas.openxmlformats.org/officeDocument/2006/relationships/hyperlink" Target="http://ckr.msb-orel.ru/" TargetMode="External"/><Relationship Id="rId17" Type="http://schemas.openxmlformats.org/officeDocument/2006/relationships/hyperlink" Target="https://invest-orel.ru/articles/ip_oryo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v@adm.orel.ru" TargetMode="External"/><Relationship Id="rId20" Type="http://schemas.openxmlformats.org/officeDocument/2006/relationships/hyperlink" Target="mailto:frpoo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://cpp.msb-orel.ru/" TargetMode="External"/><Relationship Id="rId11" Type="http://schemas.openxmlformats.org/officeDocument/2006/relationships/hyperlink" Target="mailto:info@export57.ru" TargetMode="External"/><Relationship Id="rId5" Type="http://schemas.openxmlformats.org/officeDocument/2006/relationships/hyperlink" Target="mailto:garfond@yandex.ru" TargetMode="External"/><Relationship Id="rId15" Type="http://schemas.openxmlformats.org/officeDocument/2006/relationships/hyperlink" Target="https://invest-orel.ru/articles/territoriya_operezhayuschego_sotsialno-ekonomicheskogo_razvitiya" TargetMode="External"/><Relationship Id="rId10" Type="http://schemas.openxmlformats.org/officeDocument/2006/relationships/hyperlink" Target="http://www.export57.ru/" TargetMode="External"/><Relationship Id="rId19" Type="http://schemas.openxmlformats.org/officeDocument/2006/relationships/hyperlink" Target="https://frpoo.ru/" TargetMode="External"/><Relationship Id="rId4" Type="http://schemas.openxmlformats.org/officeDocument/2006/relationships/hyperlink" Target="http://gf.msb-orel.ru/" TargetMode="External"/><Relationship Id="rId9" Type="http://schemas.openxmlformats.org/officeDocument/2006/relationships/hyperlink" Target="mailto:fmoo@msb-orel.ru" TargetMode="External"/><Relationship Id="rId14" Type="http://schemas.openxmlformats.org/officeDocument/2006/relationships/hyperlink" Target="mailto:office@park57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2024-06-19T13:13:00Z</dcterms:created>
  <dcterms:modified xsi:type="dcterms:W3CDTF">2024-06-25T05:22:00Z</dcterms:modified>
</cp:coreProperties>
</file>