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CD" w:rsidRPr="00073842" w:rsidRDefault="005920CD" w:rsidP="005920CD">
      <w:pPr>
        <w:ind w:left="709"/>
        <w:jc w:val="both"/>
        <w:rPr>
          <w:b/>
          <w:sz w:val="28"/>
          <w:szCs w:val="28"/>
        </w:rPr>
      </w:pPr>
      <w:r w:rsidRPr="00073842">
        <w:rPr>
          <w:b/>
          <w:sz w:val="28"/>
          <w:szCs w:val="28"/>
        </w:rPr>
        <w:t>С какого момента исчисляется срок исковой давности при вступлении лица в наследство по обязательствам наследодателя?</w:t>
      </w:r>
    </w:p>
    <w:p w:rsidR="005920CD" w:rsidRDefault="005920CD" w:rsidP="005920CD">
      <w:pPr>
        <w:ind w:firstLine="709"/>
        <w:jc w:val="both"/>
        <w:rPr>
          <w:sz w:val="28"/>
          <w:szCs w:val="28"/>
        </w:rPr>
      </w:pPr>
    </w:p>
    <w:p w:rsidR="005920CD" w:rsidRPr="00576E36" w:rsidRDefault="005920CD" w:rsidP="005920CD">
      <w:pPr>
        <w:ind w:firstLine="709"/>
        <w:jc w:val="both"/>
        <w:rPr>
          <w:sz w:val="28"/>
          <w:szCs w:val="28"/>
        </w:rPr>
      </w:pPr>
      <w:r w:rsidRPr="00576E36">
        <w:rPr>
          <w:sz w:val="28"/>
          <w:szCs w:val="28"/>
        </w:rPr>
        <w:t>По смыслу ст. 201 ГК РФ переход прав в порядке универсального или сингулярного правопреемства (наследование, реорганизация юридического лица, переход права собственности на вещь, уступка требования и пр.), а также передача полномочий одного органа публично-правового образования другому органу не влияют на начало течения срока исковой давности и порядок его исчисления.</w:t>
      </w:r>
    </w:p>
    <w:p w:rsidR="005920CD" w:rsidRDefault="005920CD" w:rsidP="005920CD">
      <w:pPr>
        <w:ind w:firstLine="709"/>
        <w:jc w:val="both"/>
        <w:rPr>
          <w:sz w:val="28"/>
          <w:szCs w:val="28"/>
        </w:rPr>
      </w:pPr>
      <w:r w:rsidRPr="00576E36">
        <w:rPr>
          <w:sz w:val="28"/>
          <w:szCs w:val="28"/>
        </w:rPr>
        <w:t xml:space="preserve">В этом случае срок исковой давности начинает течь в порядке, установленном ст. 200 ГК РФ, со дня, когда первоначальный обладатель права узнал или должен был узнать о нарушении своего права и о том, кто является надлежащим ответчиком по иску о защите этого права (п. 6 Постановления Пленума ВС РФ от 29 сентября </w:t>
      </w:r>
      <w:smartTag w:uri="urn:schemas-microsoft-com:office:smarttags" w:element="metricconverter">
        <w:smartTagPr>
          <w:attr w:name="ProductID" w:val="2015 г"/>
        </w:smartTagPr>
        <w:r w:rsidRPr="00576E36">
          <w:rPr>
            <w:sz w:val="28"/>
            <w:szCs w:val="28"/>
          </w:rPr>
          <w:t>2015 г</w:t>
        </w:r>
      </w:smartTag>
      <w:r w:rsidRPr="00576E36">
        <w:rPr>
          <w:sz w:val="28"/>
          <w:szCs w:val="28"/>
        </w:rPr>
        <w:t xml:space="preserve">. № 43). </w:t>
      </w:r>
    </w:p>
    <w:p w:rsidR="004A7B61" w:rsidRDefault="004A7B61"/>
    <w:p w:rsidR="005920CD" w:rsidRPr="005920CD" w:rsidRDefault="005920CD" w:rsidP="005920CD">
      <w:pPr>
        <w:jc w:val="right"/>
        <w:rPr>
          <w:b/>
          <w:sz w:val="28"/>
          <w:szCs w:val="28"/>
        </w:rPr>
      </w:pPr>
      <w:bookmarkStart w:id="0" w:name="_GoBack"/>
      <w:r w:rsidRPr="005920CD">
        <w:rPr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5920CD" w:rsidRPr="0059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921"/>
    <w:multiLevelType w:val="hybridMultilevel"/>
    <w:tmpl w:val="688C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47"/>
    <w:rsid w:val="004A7B61"/>
    <w:rsid w:val="005920CD"/>
    <w:rsid w:val="00D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690FC"/>
  <w15:chartTrackingRefBased/>
  <w15:docId w15:val="{3F7BDB82-0D58-43B0-B43B-777EB22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2023-12-27T12:03:00Z</dcterms:created>
  <dcterms:modified xsi:type="dcterms:W3CDTF">2023-12-27T12:04:00Z</dcterms:modified>
</cp:coreProperties>
</file>